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body>
    <w:p w:rsidR="00F615BD" w:rsidRPr="00DD46B0" w:rsidRDefault="00A25AB9" w:rsidP="00A25AB9">
      <w:pPr>
        <w:jc w:val="center"/>
        <w:rPr>
          <w:b/>
          <w:sz w:val="36"/>
          <w:szCs w:val="36"/>
        </w:rPr>
      </w:pPr>
      <w:r w:rsidRPr="00DD46B0">
        <w:rPr>
          <w:b/>
          <w:sz w:val="36"/>
          <w:szCs w:val="36"/>
        </w:rPr>
        <w:t>Corpus documentaire</w:t>
      </w:r>
    </w:p>
    <w:p w:rsidR="00A25AB9" w:rsidRDefault="00A25AB9" w:rsidP="00A25AB9">
      <w:pPr>
        <w:rPr>
          <w:sz w:val="28"/>
          <w:szCs w:val="28"/>
        </w:rPr>
      </w:pPr>
    </w:p>
    <w:p w:rsidR="00CD5C8E" w:rsidRDefault="00A91721" w:rsidP="00A25AB9">
      <w:pPr>
        <w:rPr>
          <w:sz w:val="28"/>
          <w:szCs w:val="28"/>
        </w:rPr>
      </w:pPr>
      <w:r>
        <w:rPr>
          <w:noProof/>
          <w:lang w:eastAsia="fr-FR"/>
        </w:rPr>
        <w:drawing>
          <wp:anchor distT="0" distB="0" distL="114300" distR="114300" simplePos="0" relativeHeight="251649536" behindDoc="1" locked="0" layoutInCell="1" allowOverlap="1">
            <wp:simplePos x="0" y="0"/>
            <wp:positionH relativeFrom="column">
              <wp:posOffset>3772535</wp:posOffset>
            </wp:positionH>
            <wp:positionV relativeFrom="paragraph">
              <wp:posOffset>89535</wp:posOffset>
            </wp:positionV>
            <wp:extent cx="2771775" cy="2257425"/>
            <wp:effectExtent l="19050" t="19050" r="28575" b="28575"/>
            <wp:wrapTight wrapText="bothSides">
              <wp:wrapPolygon edited="0">
                <wp:start x="-148" y="-182"/>
                <wp:lineTo x="-148" y="21873"/>
                <wp:lineTo x="21823" y="21873"/>
                <wp:lineTo x="21823" y="-182"/>
                <wp:lineTo x="-148" y="-182"/>
              </wp:wrapPolygon>
            </wp:wrapTight>
            <wp:docPr id="11" name="Image 2" descr="rho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one-alpes"/>
                    <pic:cNvPicPr>
                      <a:picLocks noChangeAspect="1" noChangeArrowheads="1"/>
                    </pic:cNvPicPr>
                  </pic:nvPicPr>
                  <pic:blipFill>
                    <a:blip r:embed="rId5" cstate="print"/>
                    <a:srcRect/>
                    <a:stretch>
                      <a:fillRect/>
                    </a:stretch>
                  </pic:blipFill>
                  <pic:spPr bwMode="auto">
                    <a:xfrm>
                      <a:off x="0" y="0"/>
                      <a:ext cx="2771775" cy="2257425"/>
                    </a:xfrm>
                    <a:prstGeom prst="rect">
                      <a:avLst/>
                    </a:prstGeom>
                    <a:noFill/>
                    <a:ln w="6350">
                      <a:solidFill>
                        <a:srgbClr val="000000"/>
                      </a:solidFill>
                      <a:miter lim="800000"/>
                      <a:headEnd/>
                      <a:tailEnd/>
                    </a:ln>
                    <a:effectLst/>
                  </pic:spPr>
                </pic:pic>
              </a:graphicData>
            </a:graphic>
          </wp:anchor>
        </w:drawing>
      </w:r>
      <w:r>
        <w:rPr>
          <w:noProof/>
          <w:lang w:eastAsia="fr-FR"/>
        </w:rPr>
        <w:drawing>
          <wp:anchor distT="0" distB="0" distL="114300" distR="114300" simplePos="0" relativeHeight="251650560" behindDoc="1" locked="0" layoutInCell="1" allowOverlap="1">
            <wp:simplePos x="0" y="0"/>
            <wp:positionH relativeFrom="column">
              <wp:posOffset>-66675</wp:posOffset>
            </wp:positionH>
            <wp:positionV relativeFrom="paragraph">
              <wp:posOffset>8255</wp:posOffset>
            </wp:positionV>
            <wp:extent cx="3514725" cy="2657475"/>
            <wp:effectExtent l="19050" t="19050" r="28575" b="28575"/>
            <wp:wrapTight wrapText="bothSides">
              <wp:wrapPolygon edited="0">
                <wp:start x="-117" y="-155"/>
                <wp:lineTo x="-117" y="21832"/>
                <wp:lineTo x="21776" y="21832"/>
                <wp:lineTo x="21776" y="-155"/>
                <wp:lineTo x="-117" y="-155"/>
              </wp:wrapPolygon>
            </wp:wrapTight>
            <wp:docPr id="8" name="Image 3" descr="image_5161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51617572"/>
                    <pic:cNvPicPr>
                      <a:picLocks noChangeAspect="1" noChangeArrowheads="1"/>
                    </pic:cNvPicPr>
                  </pic:nvPicPr>
                  <pic:blipFill>
                    <a:blip r:embed="rId6" cstate="print"/>
                    <a:srcRect/>
                    <a:stretch>
                      <a:fillRect/>
                    </a:stretch>
                  </pic:blipFill>
                  <pic:spPr bwMode="auto">
                    <a:xfrm>
                      <a:off x="0" y="0"/>
                      <a:ext cx="3514725" cy="2657475"/>
                    </a:xfrm>
                    <a:prstGeom prst="rect">
                      <a:avLst/>
                    </a:prstGeom>
                    <a:noFill/>
                    <a:ln w="6350">
                      <a:solidFill>
                        <a:srgbClr val="000000"/>
                      </a:solidFill>
                      <a:miter lim="800000"/>
                      <a:headEnd/>
                      <a:tailEnd/>
                    </a:ln>
                    <a:effectLst/>
                  </pic:spPr>
                </pic:pic>
              </a:graphicData>
            </a:graphic>
          </wp:anchor>
        </w:drawing>
      </w:r>
      <w:r w:rsidR="004F48F5">
        <w:rPr>
          <w:sz w:val="28"/>
          <w:szCs w:val="28"/>
        </w:rPr>
        <w:t xml:space="preserve">     </w:t>
      </w:r>
      <w:hyperlink r:id="rId7" w:tgtFrame="_blank" w:history="1">
        <w:r w:rsidR="004F48F5" w:rsidRPr="00C91683">
          <w:rPr>
            <w:rStyle w:val="Lienhypertexte"/>
            <w:rFonts w:ascii="Cambria" w:hAnsi="Cambria"/>
            <w:color w:val="336502"/>
          </w:rPr>
          <w:t>www.rhone-alpes.drire.gouv.fr</w:t>
        </w:r>
      </w:hyperlink>
      <w:r w:rsidR="004F48F5">
        <w:rPr>
          <w:rStyle w:val="corps1"/>
          <w:rFonts w:ascii="Cambria" w:hAnsi="Cambria"/>
        </w:rPr>
        <w:t xml:space="preserve"> </w:t>
      </w:r>
      <w:r w:rsidR="004F48F5" w:rsidRPr="00C91683">
        <w:rPr>
          <w:rFonts w:ascii="Arial" w:hAnsi="Arial" w:cs="Arial"/>
          <w:b/>
          <w:bCs/>
          <w:color w:val="0000FF"/>
        </w:rPr>
        <w:t xml:space="preserve"> </w:t>
      </w:r>
    </w:p>
    <w:p w:rsidR="00CD5C8E" w:rsidRDefault="00CD5C8E" w:rsidP="00A25AB9">
      <w:pPr>
        <w:rPr>
          <w:sz w:val="28"/>
          <w:szCs w:val="28"/>
        </w:rPr>
      </w:pPr>
    </w:p>
    <w:p w:rsidR="00CD5C8E" w:rsidRDefault="004F48F5" w:rsidP="00A25AB9">
      <w:pPr>
        <w:rPr>
          <w:sz w:val="28"/>
          <w:szCs w:val="28"/>
        </w:rPr>
      </w:pPr>
      <w:hyperlink r:id="rId8" w:tgtFrame="_blank" w:history="1">
        <w:r w:rsidRPr="00C91683">
          <w:rPr>
            <w:rStyle w:val="Lienhypertexte"/>
            <w:rFonts w:ascii="Cambria" w:hAnsi="Cambria"/>
            <w:color w:val="336502"/>
          </w:rPr>
          <w:t>www.rhone-alpes.drire.gouv.fr</w:t>
        </w:r>
      </w:hyperlink>
      <w:r>
        <w:rPr>
          <w:rStyle w:val="corps1"/>
          <w:rFonts w:ascii="Cambria" w:hAnsi="Cambria"/>
        </w:rPr>
        <w:t xml:space="preserve"> </w:t>
      </w:r>
      <w:r w:rsidRPr="00C91683">
        <w:rPr>
          <w:rFonts w:ascii="Arial" w:hAnsi="Arial" w:cs="Arial"/>
          <w:b/>
          <w:bCs/>
          <w:color w:val="0000FF"/>
        </w:rPr>
        <w:t xml:space="preserve"> </w:t>
      </w:r>
    </w:p>
    <w:p w:rsidR="00CD5C8E" w:rsidRDefault="00CD5C8E" w:rsidP="00A25AB9">
      <w:pPr>
        <w:rPr>
          <w:sz w:val="28"/>
          <w:szCs w:val="28"/>
        </w:rPr>
      </w:pPr>
    </w:p>
    <w:p w:rsidR="00CD5C8E" w:rsidRDefault="00CD5C8E" w:rsidP="00A25AB9">
      <w:pPr>
        <w:rPr>
          <w:sz w:val="28"/>
          <w:szCs w:val="28"/>
        </w:rPr>
      </w:pPr>
    </w:p>
    <w:p w:rsidR="00CD5C8E" w:rsidRDefault="00A91721" w:rsidP="00A25AB9">
      <w:pPr>
        <w:rPr>
          <w:sz w:val="28"/>
          <w:szCs w:val="28"/>
        </w:rPr>
      </w:pPr>
      <w:r>
        <w:rPr>
          <w:noProof/>
          <w:lang w:eastAsia="fr-FR"/>
        </w:rPr>
        <w:drawing>
          <wp:anchor distT="0" distB="0" distL="114300" distR="114300" simplePos="0" relativeHeight="251652608" behindDoc="1" locked="0" layoutInCell="1" allowOverlap="1">
            <wp:simplePos x="0" y="0"/>
            <wp:positionH relativeFrom="column">
              <wp:posOffset>4105275</wp:posOffset>
            </wp:positionH>
            <wp:positionV relativeFrom="paragraph">
              <wp:posOffset>635</wp:posOffset>
            </wp:positionV>
            <wp:extent cx="2705100" cy="3448050"/>
            <wp:effectExtent l="19050" t="19050" r="19050" b="19050"/>
            <wp:wrapTight wrapText="bothSides">
              <wp:wrapPolygon edited="0">
                <wp:start x="-152" y="-119"/>
                <wp:lineTo x="-152" y="21719"/>
                <wp:lineTo x="21752" y="21719"/>
                <wp:lineTo x="21752" y="-119"/>
                <wp:lineTo x="-152" y="-119"/>
              </wp:wrapPolygon>
            </wp:wrapTight>
            <wp:docPr id="6" name="Image 5" descr="1B4D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B4D6354"/>
                    <pic:cNvPicPr>
                      <a:picLocks noChangeAspect="1" noChangeArrowheads="1"/>
                    </pic:cNvPicPr>
                  </pic:nvPicPr>
                  <pic:blipFill>
                    <a:blip r:embed="rId9" cstate="print"/>
                    <a:srcRect l="44832" b="12869"/>
                    <a:stretch>
                      <a:fillRect/>
                    </a:stretch>
                  </pic:blipFill>
                  <pic:spPr bwMode="auto">
                    <a:xfrm>
                      <a:off x="0" y="0"/>
                      <a:ext cx="2705100" cy="3448050"/>
                    </a:xfrm>
                    <a:prstGeom prst="rect">
                      <a:avLst/>
                    </a:prstGeom>
                    <a:noFill/>
                    <a:ln w="6350">
                      <a:solidFill>
                        <a:srgbClr val="000000"/>
                      </a:solidFill>
                      <a:miter lim="800000"/>
                      <a:headEnd/>
                      <a:tailEnd/>
                    </a:ln>
                    <a:effectLst/>
                  </pic:spPr>
                </pic:pic>
              </a:graphicData>
            </a:graphic>
          </wp:anchor>
        </w:drawing>
      </w:r>
      <w:r>
        <w:rPr>
          <w:noProof/>
          <w:lang w:eastAsia="fr-FR"/>
        </w:rPr>
        <w:drawing>
          <wp:anchor distT="0" distB="0" distL="114300" distR="114300" simplePos="0" relativeHeight="251651584" behindDoc="1" locked="0" layoutInCell="1" allowOverlap="1">
            <wp:simplePos x="0" y="0"/>
            <wp:positionH relativeFrom="column">
              <wp:posOffset>0</wp:posOffset>
            </wp:positionH>
            <wp:positionV relativeFrom="paragraph">
              <wp:posOffset>635</wp:posOffset>
            </wp:positionV>
            <wp:extent cx="3743325" cy="3743325"/>
            <wp:effectExtent l="19050" t="19050" r="28575" b="28575"/>
            <wp:wrapTight wrapText="bothSides">
              <wp:wrapPolygon edited="0">
                <wp:start x="-110" y="-110"/>
                <wp:lineTo x="-110" y="21765"/>
                <wp:lineTo x="21765" y="21765"/>
                <wp:lineTo x="21765" y="-110"/>
                <wp:lineTo x="-110" y="-110"/>
              </wp:wrapPolygon>
            </wp:wrapTight>
            <wp:docPr id="5" name="Image 4" descr="Eviter un autre A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ter un autre AZF"/>
                    <pic:cNvPicPr>
                      <a:picLocks noChangeAspect="1" noChangeArrowheads="1"/>
                    </pic:cNvPicPr>
                  </pic:nvPicPr>
                  <pic:blipFill>
                    <a:blip r:embed="rId10" r:link="rId11" cstate="print"/>
                    <a:srcRect/>
                    <a:stretch>
                      <a:fillRect/>
                    </a:stretch>
                  </pic:blipFill>
                  <pic:spPr bwMode="auto">
                    <a:xfrm>
                      <a:off x="0" y="0"/>
                      <a:ext cx="3743325" cy="3743325"/>
                    </a:xfrm>
                    <a:prstGeom prst="rect">
                      <a:avLst/>
                    </a:prstGeom>
                    <a:noFill/>
                    <a:ln w="6350">
                      <a:solidFill>
                        <a:srgbClr val="000000"/>
                      </a:solidFill>
                      <a:miter lim="800000"/>
                      <a:headEnd/>
                      <a:tailEnd/>
                    </a:ln>
                    <a:effectLst/>
                  </pic:spPr>
                </pic:pic>
              </a:graphicData>
            </a:graphic>
          </wp:anchor>
        </w:drawing>
      </w: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6857C1" w:rsidRPr="00423411" w:rsidRDefault="006857C1" w:rsidP="006857C1">
      <w:pPr>
        <w:ind w:left="284"/>
        <w:jc w:val="center"/>
        <w:rPr>
          <w:sz w:val="20"/>
        </w:rPr>
      </w:pPr>
      <w:r w:rsidRPr="00423411">
        <w:rPr>
          <w:sz w:val="20"/>
        </w:rPr>
        <w:t xml:space="preserve">In </w:t>
      </w:r>
      <w:r w:rsidRPr="00423411">
        <w:rPr>
          <w:i/>
          <w:sz w:val="20"/>
        </w:rPr>
        <w:t>historiens et géographes</w:t>
      </w:r>
      <w:r w:rsidRPr="00423411">
        <w:rPr>
          <w:sz w:val="20"/>
        </w:rPr>
        <w:t xml:space="preserve"> n°376, 2001</w:t>
      </w:r>
    </w:p>
    <w:p w:rsidR="00CD5C8E" w:rsidRDefault="00CD5C8E" w:rsidP="00A25AB9">
      <w:pPr>
        <w:rPr>
          <w:sz w:val="28"/>
          <w:szCs w:val="28"/>
        </w:rPr>
      </w:pPr>
    </w:p>
    <w:p w:rsidR="004F48F5" w:rsidRDefault="004F48F5" w:rsidP="004F48F5">
      <w:pPr>
        <w:rPr>
          <w:rStyle w:val="corps1"/>
        </w:rPr>
      </w:pPr>
      <w:hyperlink r:id="rId12" w:history="1">
        <w:r w:rsidRPr="00130E70">
          <w:rPr>
            <w:rStyle w:val="Lienhypertexte"/>
            <w:rFonts w:ascii="Verdana" w:hAnsi="Verdana"/>
            <w:sz w:val="17"/>
            <w:szCs w:val="17"/>
          </w:rPr>
          <w:t>http://www.lexpress.fr/actualite/environnement/eviter-un-autre-azf_</w:t>
        </w:r>
        <w:r w:rsidRPr="00130E70">
          <w:rPr>
            <w:rStyle w:val="Lienhypertexte"/>
            <w:rFonts w:ascii="Verdana" w:hAnsi="Verdana"/>
            <w:sz w:val="17"/>
            <w:szCs w:val="17"/>
          </w:rPr>
          <w:t>483981.html</w:t>
        </w:r>
      </w:hyperlink>
    </w:p>
    <w:p w:rsidR="00CD5C8E" w:rsidRDefault="00DF752C" w:rsidP="00A25AB9">
      <w:pPr>
        <w:rPr>
          <w:sz w:val="28"/>
          <w:szCs w:val="28"/>
        </w:rPr>
      </w:pPr>
      <w:r>
        <w:rPr>
          <w:noProof/>
          <w:sz w:val="28"/>
          <w:szCs w:val="28"/>
          <w:lang w:eastAsia="fr-FR"/>
        </w:rPr>
        <w:pict>
          <v:shapetype id="_x0000_t202" coordsize="21600,21600" o:spt="202" path="m,l,21600r21600,l21600,xe">
            <v:stroke joinstyle="miter"/>
            <v:path gradientshapeok="t" o:connecttype="rect"/>
          </v:shapetype>
          <v:shape id="_x0000_s1030" type="#_x0000_t202" style="position:absolute;margin-left:0;margin-top:15.05pt;width:513pt;height:137.75pt;z-index:251653632">
            <v:textbox style="mso-next-textbox:#_x0000_s1030">
              <w:txbxContent>
                <w:p w:rsidR="00DF752C" w:rsidRPr="002750DF" w:rsidRDefault="00DF752C" w:rsidP="00DF752C">
                  <w:pPr>
                    <w:ind w:firstLine="180"/>
                    <w:jc w:val="both"/>
                    <w:rPr>
                      <w:rFonts w:ascii="Arial" w:hAnsi="Arial" w:cs="Arial"/>
                      <w:sz w:val="20"/>
                    </w:rPr>
                  </w:pPr>
                  <w:r w:rsidRPr="002750DF">
                    <w:rPr>
                      <w:rFonts w:ascii="Arial" w:hAnsi="Arial" w:cs="Arial"/>
                      <w:sz w:val="20"/>
                    </w:rPr>
                    <w:t>Pouvoirs publics et industriels sont unanimes : dans l’industrie chimique et pétrolière, le risque zéro n’existe pas. La probabilité d’une catastrophe est d’autant plus grande que les entreprises dangereuses sont concentrées sur une zone, comme c’est le cas dans le « couloir de la chimie ». </w:t>
                  </w:r>
                </w:p>
                <w:p w:rsidR="00DF752C" w:rsidRPr="002750DF" w:rsidRDefault="00DF752C" w:rsidP="00DF752C">
                  <w:pPr>
                    <w:pStyle w:val="Corpsdetexte3"/>
                    <w:ind w:firstLine="180"/>
                    <w:rPr>
                      <w:sz w:val="20"/>
                      <w:szCs w:val="22"/>
                    </w:rPr>
                  </w:pPr>
                  <w:r w:rsidRPr="002750DF">
                    <w:rPr>
                      <w:sz w:val="20"/>
                      <w:szCs w:val="22"/>
                    </w:rPr>
                    <w:t xml:space="preserve">Depuis 1985, chaque directeur </w:t>
                  </w:r>
                  <w:r>
                    <w:rPr>
                      <w:sz w:val="20"/>
                      <w:szCs w:val="22"/>
                    </w:rPr>
                    <w:t>d</w:t>
                  </w:r>
                  <w:r w:rsidRPr="002750DF">
                    <w:rPr>
                      <w:sz w:val="20"/>
                      <w:szCs w:val="22"/>
                    </w:rPr>
                    <w:t>‘usine chimique ou d’entreprise traitant des hydrocarbures doit préparer un Plan d’opération interne (POI) qui définit l’organisation des secours en cas d’accident à l’intérieur de l’usine.</w:t>
                  </w:r>
                </w:p>
                <w:p w:rsidR="00DF752C" w:rsidRPr="002750DF" w:rsidRDefault="00DF752C" w:rsidP="00DF752C">
                  <w:pPr>
                    <w:ind w:firstLine="180"/>
                    <w:jc w:val="both"/>
                    <w:rPr>
                      <w:rFonts w:ascii="Arial" w:hAnsi="Arial" w:cs="Arial"/>
                      <w:sz w:val="20"/>
                    </w:rPr>
                  </w:pPr>
                  <w:r w:rsidRPr="002750DF">
                    <w:rPr>
                      <w:rFonts w:ascii="Arial" w:hAnsi="Arial" w:cs="Arial"/>
                      <w:sz w:val="20"/>
                    </w:rPr>
                    <w:t>La directive européenne Seveso II oblige également l’exploitant à élaborer et à mettre en œuvre une politique de prévention des accidents majeurs fondée sur une étude des dangers.</w:t>
                  </w:r>
                </w:p>
                <w:p w:rsidR="00DF752C" w:rsidRPr="002750DF" w:rsidRDefault="00DF752C" w:rsidP="00DF752C">
                  <w:pPr>
                    <w:ind w:firstLine="180"/>
                    <w:jc w:val="both"/>
                    <w:rPr>
                      <w:rFonts w:ascii="Arial" w:hAnsi="Arial" w:cs="Arial"/>
                      <w:sz w:val="20"/>
                    </w:rPr>
                  </w:pPr>
                  <w:r w:rsidRPr="002750DF">
                    <w:rPr>
                      <w:rFonts w:ascii="Arial" w:hAnsi="Arial" w:cs="Arial"/>
                      <w:sz w:val="20"/>
                    </w:rPr>
                    <w:t>L’étude de dangers et le POI sont utilisés par l’administration pour concevoir le Plan particulier d’intervention (PPI) sous l’autorité du préfet. Ce plan définit l’organisation des secours (protection civile, Samu, pompiers, gendarmerie…) en cas d’accident très grave dont les conséquences débordent le cadre d’une usine.</w:t>
                  </w:r>
                </w:p>
                <w:p w:rsidR="00DF752C" w:rsidRPr="00EC0C17" w:rsidRDefault="00DF752C" w:rsidP="00DF752C">
                  <w:pPr>
                    <w:jc w:val="right"/>
                    <w:rPr>
                      <w:rFonts w:ascii="Arial" w:hAnsi="Arial" w:cs="Arial"/>
                      <w:sz w:val="18"/>
                      <w:szCs w:val="18"/>
                    </w:rPr>
                  </w:pPr>
                  <w:r w:rsidRPr="00EC0C17">
                    <w:rPr>
                      <w:rFonts w:ascii="Arial" w:hAnsi="Arial" w:cs="Arial"/>
                      <w:sz w:val="18"/>
                      <w:szCs w:val="18"/>
                    </w:rPr>
                    <w:t>« </w:t>
                  </w:r>
                  <w:r w:rsidRPr="004F3522">
                    <w:rPr>
                      <w:rFonts w:ascii="Arial" w:hAnsi="Arial" w:cs="Arial"/>
                      <w:i/>
                      <w:sz w:val="18"/>
                      <w:szCs w:val="18"/>
                    </w:rPr>
                    <w:t>Aléas et Enjeux »,</w:t>
                  </w:r>
                  <w:r w:rsidRPr="00EC0C17">
                    <w:rPr>
                      <w:rFonts w:ascii="Arial" w:hAnsi="Arial" w:cs="Arial"/>
                      <w:sz w:val="18"/>
                      <w:szCs w:val="18"/>
                    </w:rPr>
                    <w:t xml:space="preserve"> TDC, n°8 – 1 décembre 2002</w:t>
                  </w:r>
                </w:p>
              </w:txbxContent>
            </v:textbox>
          </v:shape>
        </w:pict>
      </w: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DF752C" w:rsidRPr="00620234" w:rsidRDefault="00DF752C" w:rsidP="00DF752C">
      <w:pPr>
        <w:shd w:val="clear" w:color="auto" w:fill="FFFFFF"/>
        <w:jc w:val="both"/>
        <w:rPr>
          <w:rFonts w:ascii="Arial" w:hAnsi="Arial" w:cs="Arial"/>
        </w:rPr>
      </w:pPr>
      <w:r w:rsidRPr="00620234">
        <w:rPr>
          <w:rFonts w:ascii="Arial" w:hAnsi="Arial" w:cs="Arial"/>
        </w:rPr>
        <w:lastRenderedPageBreak/>
        <w:t xml:space="preserve">Située dans le «couloir de la chimie» rhodanien, la raffinerie Total de Feyzin est l'un des huit sites pilotes qui expérimentent un plan de prévention des risques technologiques </w:t>
      </w:r>
    </w:p>
    <w:p w:rsidR="00DF752C" w:rsidRPr="00620234" w:rsidRDefault="00DF752C" w:rsidP="00DF752C">
      <w:pPr>
        <w:shd w:val="clear" w:color="auto" w:fill="FFFFFF"/>
        <w:jc w:val="both"/>
        <w:rPr>
          <w:rFonts w:ascii="Arial" w:hAnsi="Arial" w:cs="Arial"/>
          <w:b/>
          <w:bCs/>
          <w:color w:val="2C2F36"/>
        </w:rPr>
      </w:pPr>
      <w:r w:rsidRPr="00620234">
        <w:rPr>
          <w:rStyle w:val="lev"/>
          <w:rFonts w:ascii="Arial" w:hAnsi="Arial" w:cs="Arial"/>
        </w:rPr>
        <w:t>La commune de Feyzin n’a pas attendu la loi pour prendre ses intérêts en main.</w:t>
      </w:r>
      <w:r w:rsidRPr="00620234">
        <w:rPr>
          <w:rFonts w:ascii="Arial" w:hAnsi="Arial" w:cs="Arial"/>
        </w:rPr>
        <w:t xml:space="preserve"> Elle est même une commune pilote pour la gestion des risques et elle a lancé son propre Agenda 21 local. Pour le PPRT, c’est en fait la raffinerie qui est site expérimental et non la commune, l’initiative revenant au ministère de l’environnement.</w:t>
      </w:r>
    </w:p>
    <w:p w:rsidR="00DF752C" w:rsidRPr="00620234" w:rsidRDefault="00DF752C" w:rsidP="00DF752C">
      <w:pPr>
        <w:pStyle w:val="corps"/>
        <w:spacing w:before="0" w:beforeAutospacing="0" w:after="0" w:afterAutospacing="0"/>
        <w:ind w:firstLine="426"/>
        <w:jc w:val="both"/>
        <w:rPr>
          <w:rFonts w:ascii="Arial" w:hAnsi="Arial" w:cs="Arial"/>
          <w:sz w:val="22"/>
          <w:szCs w:val="22"/>
        </w:rPr>
      </w:pPr>
    </w:p>
    <w:p w:rsidR="00DF752C" w:rsidRPr="00620234" w:rsidRDefault="00DF752C" w:rsidP="00DF752C">
      <w:pPr>
        <w:shd w:val="clear" w:color="auto" w:fill="FFFFFF"/>
        <w:ind w:firstLine="567"/>
        <w:jc w:val="both"/>
        <w:rPr>
          <w:rFonts w:ascii="Arial" w:hAnsi="Arial" w:cs="Arial"/>
        </w:rPr>
      </w:pPr>
      <w:r w:rsidRPr="00620234">
        <w:rPr>
          <w:rFonts w:ascii="Arial" w:hAnsi="Arial" w:cs="Arial"/>
        </w:rPr>
        <w:t>L'explosion de Toulouse à l'esprit, les élus des communes de la banlieue sud de Lyon, les exploitants de la raffinerie Total de Feyzin et les représentants du préfet du Rhône se sont réunis le 8 novembre pour examiner un gros pavé: le plan de prévention des risques technologiques (PPRT) de cette usine située au cœur du «couloir de la chimie», zone concentrant un très grand nombre d'activités dangereuses en France.</w:t>
      </w:r>
    </w:p>
    <w:p w:rsidR="00DF752C" w:rsidRPr="00620234" w:rsidRDefault="00DF752C" w:rsidP="00DF752C">
      <w:pPr>
        <w:shd w:val="clear" w:color="auto" w:fill="FFFFFF"/>
        <w:ind w:firstLine="567"/>
        <w:jc w:val="both"/>
        <w:rPr>
          <w:rFonts w:ascii="Arial" w:hAnsi="Arial" w:cs="Arial"/>
        </w:rPr>
      </w:pPr>
      <w:r w:rsidRPr="00620234">
        <w:rPr>
          <w:rFonts w:ascii="Arial" w:hAnsi="Arial" w:cs="Arial"/>
        </w:rPr>
        <w:t xml:space="preserve">Ce plan oblige les industriels à effectuer des mesures précises des risques réels de leur activité pour les riverains. L'enjeu est d'importance : s'il le faut, à l'issue de ce PPRT, les préfets pourront ordonner la destruction des bâtiments trop exposés, les maires préempter les terrains trop proches des usines et les propriétaires abandonner leur bien, moyennant indemnisation. Au total, 622 établissements sont concernés à l'échelle de </w:t>
      </w:r>
      <w:smartTag w:uri="urn:schemas-microsoft-com:office:smarttags" w:element="PersonName">
        <w:smartTagPr>
          <w:attr w:name="ProductID" w:val="la France"/>
        </w:smartTagPr>
        <w:r w:rsidRPr="00620234">
          <w:rPr>
            <w:rFonts w:ascii="Arial" w:hAnsi="Arial" w:cs="Arial"/>
          </w:rPr>
          <w:t>la France</w:t>
        </w:r>
      </w:smartTag>
      <w:r w:rsidRPr="00620234">
        <w:rPr>
          <w:rFonts w:ascii="Arial" w:hAnsi="Arial" w:cs="Arial"/>
        </w:rPr>
        <w:t>, ce qui représente 421 PPRT à élaborer.</w:t>
      </w:r>
    </w:p>
    <w:p w:rsidR="00DF752C" w:rsidRPr="00620234" w:rsidRDefault="00DF752C" w:rsidP="00DF752C">
      <w:pPr>
        <w:shd w:val="clear" w:color="auto" w:fill="FFFFFF"/>
        <w:ind w:firstLine="567"/>
        <w:jc w:val="both"/>
        <w:rPr>
          <w:rFonts w:ascii="Arial" w:hAnsi="Arial" w:cs="Arial"/>
        </w:rPr>
      </w:pPr>
      <w:r w:rsidRPr="00620234">
        <w:rPr>
          <w:rFonts w:ascii="Arial" w:hAnsi="Arial" w:cs="Arial"/>
        </w:rPr>
        <w:t>Certes, la directive européenne adoptée en 1982, après l'accident de l'usine chimique italienne de Seveso, exigeait des industriels une étude sur les risques courus et des actions d'information du public. Mais son application s'est révélée insatisfaisante. Quant à l'information du public, elle est restée rudimentaire : personne n'a vraiment su comment former, sans les affoler, les 55 200 résidents de la région, les 44 000 salariés, les 12 000 écoliers susceptibles d'être blessés ou intoxiqués par une catastrophe industrielle.</w:t>
      </w:r>
    </w:p>
    <w:p w:rsidR="00DF752C" w:rsidRPr="00620234" w:rsidRDefault="00DF752C" w:rsidP="00DF752C">
      <w:pPr>
        <w:pStyle w:val="title1"/>
        <w:shd w:val="clear" w:color="auto" w:fill="FFFFFF"/>
        <w:jc w:val="both"/>
        <w:rPr>
          <w:rFonts w:ascii="Arial" w:hAnsi="Arial" w:cs="Arial"/>
          <w:color w:val="auto"/>
          <w:sz w:val="22"/>
          <w:szCs w:val="22"/>
        </w:rPr>
      </w:pPr>
    </w:p>
    <w:p w:rsidR="00DF752C" w:rsidRPr="00620234" w:rsidRDefault="00DF752C" w:rsidP="00DF752C">
      <w:pPr>
        <w:pStyle w:val="title1"/>
        <w:shd w:val="clear" w:color="auto" w:fill="FFFFFF"/>
        <w:jc w:val="both"/>
        <w:rPr>
          <w:rFonts w:ascii="Arial" w:hAnsi="Arial" w:cs="Arial"/>
          <w:color w:val="auto"/>
          <w:sz w:val="22"/>
          <w:szCs w:val="22"/>
        </w:rPr>
      </w:pPr>
      <w:r w:rsidRPr="00620234">
        <w:rPr>
          <w:rFonts w:ascii="Arial" w:hAnsi="Arial" w:cs="Arial"/>
          <w:color w:val="auto"/>
          <w:sz w:val="22"/>
          <w:szCs w:val="22"/>
        </w:rPr>
        <w:t xml:space="preserve">Démolir les bâtiments trop proches </w:t>
      </w:r>
    </w:p>
    <w:p w:rsidR="00DF752C" w:rsidRPr="00620234" w:rsidRDefault="00DF752C" w:rsidP="00DF752C">
      <w:pPr>
        <w:shd w:val="clear" w:color="auto" w:fill="FFFFFF"/>
        <w:ind w:firstLine="567"/>
        <w:jc w:val="both"/>
        <w:rPr>
          <w:rFonts w:ascii="Arial" w:hAnsi="Arial" w:cs="Arial"/>
        </w:rPr>
      </w:pPr>
      <w:r w:rsidRPr="00620234">
        <w:rPr>
          <w:rFonts w:ascii="Arial" w:hAnsi="Arial" w:cs="Arial"/>
        </w:rPr>
        <w:t>C'est tout cela que doit corriger le PPRT. «Nos études combinent désormais la gravité de l'accident et sa probabilité, explique Jean-Marc Jaubert, directeur de la sécurité industrielle chez Total. Notre première action est de réduire le risque à la source, par exemple en ajoutant des vannes d'isolement ou en réduisant les quantités stockées.» Cette étape se double d'une véritable politique de communication.</w:t>
      </w:r>
    </w:p>
    <w:p w:rsidR="00DF752C" w:rsidRPr="00620234" w:rsidRDefault="00DF752C" w:rsidP="00DF752C">
      <w:pPr>
        <w:shd w:val="clear" w:color="auto" w:fill="FFFFFF"/>
        <w:ind w:firstLine="567"/>
        <w:jc w:val="both"/>
        <w:rPr>
          <w:rStyle w:val="corps1"/>
          <w:rFonts w:ascii="Arial" w:hAnsi="Arial" w:cs="Arial"/>
          <w:color w:val="auto"/>
        </w:rPr>
      </w:pPr>
      <w:r w:rsidRPr="00620234">
        <w:rPr>
          <w:rFonts w:ascii="Arial" w:hAnsi="Arial" w:cs="Arial"/>
        </w:rPr>
        <w:t>Une fois le PPRT adopté, courant 2006, il faudra envisager de démolir des bâtiments trop proches de la raffinerie. Les frais seront pris en charge par l'industriel, l'Etat et la commune. Mais selon quelle répartition? «27 décrets d'application de la loi Bachelot sur 39 restent à écrire, et ce sont ceux qui donnent les règles d'indemnisation, s'insurge Yves Blein. Dans ma commune, plusieurs maisons devront être détruites. Je veux savoir qui va payer quoi</w:t>
      </w:r>
      <w:r>
        <w:rPr>
          <w:rFonts w:ascii="Arial" w:hAnsi="Arial" w:cs="Arial"/>
        </w:rPr>
        <w:t xml:space="preserve"> </w:t>
      </w:r>
      <w:r w:rsidRPr="00620234">
        <w:rPr>
          <w:rFonts w:ascii="Arial" w:hAnsi="Arial" w:cs="Arial"/>
        </w:rPr>
        <w:t>!»</w:t>
      </w:r>
    </w:p>
    <w:p w:rsidR="00DF752C" w:rsidRDefault="00A91721" w:rsidP="00DF752C">
      <w:pPr>
        <w:jc w:val="right"/>
        <w:rPr>
          <w:rStyle w:val="corps1"/>
        </w:rPr>
      </w:pPr>
      <w:r>
        <w:rPr>
          <w:noProof/>
          <w:lang w:eastAsia="fr-FR"/>
        </w:rPr>
        <w:drawing>
          <wp:anchor distT="0" distB="0" distL="114300" distR="114300" simplePos="0" relativeHeight="251654656" behindDoc="1" locked="0" layoutInCell="1" allowOverlap="1">
            <wp:simplePos x="0" y="0"/>
            <wp:positionH relativeFrom="column">
              <wp:posOffset>73025</wp:posOffset>
            </wp:positionH>
            <wp:positionV relativeFrom="paragraph">
              <wp:posOffset>107950</wp:posOffset>
            </wp:positionV>
            <wp:extent cx="2641600" cy="4132580"/>
            <wp:effectExtent l="19050" t="19050" r="25400" b="20320"/>
            <wp:wrapTight wrapText="bothSides">
              <wp:wrapPolygon edited="0">
                <wp:start x="-156" y="-100"/>
                <wp:lineTo x="-156" y="21706"/>
                <wp:lineTo x="21808" y="21706"/>
                <wp:lineTo x="21808" y="-100"/>
                <wp:lineTo x="-156" y="-100"/>
              </wp:wrapPolygon>
            </wp:wrapTight>
            <wp:docPr id="7" name="Image 7" descr="http://geoconfluences.ens-lsh.fr/doc/transv/Risque/images/Donz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confluences.ens-lsh.fr/doc/transv/Risque/images/Donze3.gif"/>
                    <pic:cNvPicPr>
                      <a:picLocks noChangeAspect="1" noChangeArrowheads="1"/>
                    </pic:cNvPicPr>
                  </pic:nvPicPr>
                  <pic:blipFill>
                    <a:blip r:embed="rId13" r:link="rId14" cstate="print"/>
                    <a:srcRect/>
                    <a:stretch>
                      <a:fillRect/>
                    </a:stretch>
                  </pic:blipFill>
                  <pic:spPr bwMode="auto">
                    <a:xfrm>
                      <a:off x="0" y="0"/>
                      <a:ext cx="2641600" cy="4132580"/>
                    </a:xfrm>
                    <a:prstGeom prst="rect">
                      <a:avLst/>
                    </a:prstGeom>
                    <a:noFill/>
                    <a:ln w="6350">
                      <a:solidFill>
                        <a:srgbClr val="000000"/>
                      </a:solidFill>
                      <a:miter lim="800000"/>
                      <a:headEnd/>
                      <a:tailEnd/>
                    </a:ln>
                    <a:effectLst/>
                  </pic:spPr>
                </pic:pic>
              </a:graphicData>
            </a:graphic>
          </wp:anchor>
        </w:drawing>
      </w:r>
    </w:p>
    <w:p w:rsidR="00DF752C" w:rsidRDefault="00DF752C" w:rsidP="00DF752C">
      <w:pPr>
        <w:jc w:val="right"/>
        <w:rPr>
          <w:rStyle w:val="corps1"/>
        </w:rPr>
      </w:pPr>
      <w:hyperlink r:id="rId15" w:history="1">
        <w:r w:rsidRPr="00130E70">
          <w:rPr>
            <w:rStyle w:val="Lienhypertexte"/>
            <w:rFonts w:ascii="Verdana" w:hAnsi="Verdana"/>
            <w:sz w:val="17"/>
            <w:szCs w:val="17"/>
          </w:rPr>
          <w:t>http://www.lexpress.fr/actu</w:t>
        </w:r>
        <w:r w:rsidRPr="00130E70">
          <w:rPr>
            <w:rStyle w:val="Lienhypertexte"/>
            <w:rFonts w:ascii="Verdana" w:hAnsi="Verdana"/>
            <w:sz w:val="17"/>
            <w:szCs w:val="17"/>
          </w:rPr>
          <w:t>a</w:t>
        </w:r>
        <w:r w:rsidRPr="00130E70">
          <w:rPr>
            <w:rStyle w:val="Lienhypertexte"/>
            <w:rFonts w:ascii="Verdana" w:hAnsi="Verdana"/>
            <w:sz w:val="17"/>
            <w:szCs w:val="17"/>
          </w:rPr>
          <w:t>lite/environnement/</w:t>
        </w:r>
        <w:r w:rsidRPr="00130E70">
          <w:rPr>
            <w:rStyle w:val="Lienhypertexte"/>
            <w:rFonts w:ascii="Verdana" w:hAnsi="Verdana"/>
            <w:sz w:val="17"/>
            <w:szCs w:val="17"/>
          </w:rPr>
          <w:t>e</w:t>
        </w:r>
        <w:r w:rsidRPr="00130E70">
          <w:rPr>
            <w:rStyle w:val="Lienhypertexte"/>
            <w:rFonts w:ascii="Verdana" w:hAnsi="Verdana"/>
            <w:sz w:val="17"/>
            <w:szCs w:val="17"/>
          </w:rPr>
          <w:t>viter-un-autre-azf_483981.html</w:t>
        </w:r>
      </w:hyperlink>
    </w:p>
    <w:p w:rsidR="00CD5C8E" w:rsidRDefault="00CD5C8E" w:rsidP="00A25AB9">
      <w:pPr>
        <w:rPr>
          <w:sz w:val="28"/>
          <w:szCs w:val="28"/>
        </w:rPr>
      </w:pPr>
    </w:p>
    <w:p w:rsidR="00EA612F" w:rsidRDefault="00EA612F" w:rsidP="00EA612F">
      <w:pPr>
        <w:jc w:val="both"/>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5F0DC0" w:rsidP="00EA612F">
      <w:pPr>
        <w:jc w:val="both"/>
        <w:rPr>
          <w:rFonts w:ascii="Cambria" w:hAnsi="Cambria" w:cs="Arial"/>
          <w:sz w:val="18"/>
        </w:rPr>
      </w:pPr>
      <w:r>
        <w:rPr>
          <w:rFonts w:ascii="Cambria" w:hAnsi="Cambria" w:cs="Arial"/>
          <w:noProof/>
          <w:sz w:val="18"/>
          <w:lang w:eastAsia="fr-FR"/>
        </w:rPr>
        <w:pict>
          <v:shape id="_x0000_s1032" type="#_x0000_t202" style="position:absolute;left:0;text-align:left;margin-left:70.2pt;margin-top:3.05pt;width:150.8pt;height:193.85pt;z-index:-251660800;mso-height-percent:200;mso-height-percent:200;mso-width-relative:margin;mso-height-relative:margin" wrapcoords="-107 -84 -107 21516 21707 21516 21707 -84 -107 -84">
            <v:textbox style="mso-fit-shape-to-text:t">
              <w:txbxContent>
                <w:p w:rsidR="00EA612F" w:rsidRDefault="00EA612F" w:rsidP="00EA612F">
                  <w:pPr>
                    <w:jc w:val="both"/>
                    <w:rPr>
                      <w:rStyle w:val="lev"/>
                      <w:rFonts w:ascii="Arial" w:hAnsi="Arial" w:cs="Arial"/>
                      <w:i/>
                      <w:iCs/>
                      <w:sz w:val="20"/>
                      <w:szCs w:val="17"/>
                    </w:rPr>
                  </w:pPr>
                  <w:r>
                    <w:rPr>
                      <w:rStyle w:val="lev"/>
                      <w:rFonts w:ascii="Arial" w:hAnsi="Arial" w:cs="Arial"/>
                      <w:i/>
                      <w:iCs/>
                      <w:sz w:val="20"/>
                      <w:szCs w:val="17"/>
                    </w:rPr>
                    <w:t>Effets de surpression :</w:t>
                  </w:r>
                </w:p>
                <w:p w:rsidR="00EA612F" w:rsidRPr="00045045" w:rsidRDefault="00EA612F" w:rsidP="00EA612F">
                  <w:pPr>
                    <w:jc w:val="both"/>
                    <w:rPr>
                      <w:rStyle w:val="Accentuation"/>
                      <w:rFonts w:ascii="Arial" w:hAnsi="Arial" w:cs="Arial"/>
                      <w:b/>
                      <w:bCs/>
                      <w:sz w:val="20"/>
                      <w:szCs w:val="17"/>
                    </w:rPr>
                  </w:pPr>
                  <w:r w:rsidRPr="00045045">
                    <w:rPr>
                      <w:rStyle w:val="Accentuation"/>
                      <w:rFonts w:ascii="Arial" w:hAnsi="Arial" w:cs="Arial"/>
                      <w:sz w:val="20"/>
                      <w:szCs w:val="17"/>
                    </w:rPr>
                    <w:t>S1 = effets mortels et effets sur la structure des bâtiments</w:t>
                  </w:r>
                  <w:r w:rsidRPr="00045045">
                    <w:rPr>
                      <w:rFonts w:ascii="Arial" w:hAnsi="Arial" w:cs="Arial"/>
                      <w:sz w:val="32"/>
                    </w:rPr>
                    <w:br/>
                  </w:r>
                  <w:r w:rsidRPr="00045045">
                    <w:rPr>
                      <w:rStyle w:val="Accentuation"/>
                      <w:rFonts w:ascii="Arial" w:hAnsi="Arial" w:cs="Arial"/>
                      <w:sz w:val="20"/>
                      <w:szCs w:val="17"/>
                    </w:rPr>
                    <w:t>S2 = blessures irrémédiables et de 50 à 100% de bris de vitres</w:t>
                  </w:r>
                  <w:r w:rsidRPr="00045045">
                    <w:rPr>
                      <w:rFonts w:ascii="Arial" w:hAnsi="Arial" w:cs="Arial"/>
                      <w:sz w:val="32"/>
                    </w:rPr>
                    <w:br/>
                  </w:r>
                  <w:r w:rsidRPr="00045045">
                    <w:rPr>
                      <w:rStyle w:val="Accentuation"/>
                      <w:rFonts w:ascii="Arial" w:hAnsi="Arial" w:cs="Arial"/>
                      <w:sz w:val="20"/>
                      <w:szCs w:val="17"/>
                    </w:rPr>
                    <w:t>S3 et S4 = pas de blessures irrémédiables et bris de vitres jusqu'à 50%</w:t>
                  </w:r>
                </w:p>
                <w:p w:rsidR="00EA612F" w:rsidRDefault="00EA612F" w:rsidP="00EA612F">
                  <w:pPr>
                    <w:jc w:val="both"/>
                    <w:rPr>
                      <w:rStyle w:val="lev"/>
                      <w:rFonts w:ascii="Arial" w:hAnsi="Arial" w:cs="Arial"/>
                      <w:i/>
                      <w:iCs/>
                      <w:sz w:val="20"/>
                      <w:szCs w:val="17"/>
                    </w:rPr>
                  </w:pPr>
                  <w:r w:rsidRPr="00045045">
                    <w:rPr>
                      <w:rStyle w:val="lev"/>
                      <w:i/>
                      <w:iCs/>
                      <w:szCs w:val="17"/>
                    </w:rPr>
                    <w:br/>
                  </w:r>
                  <w:r w:rsidRPr="00045045">
                    <w:rPr>
                      <w:rStyle w:val="lev"/>
                      <w:rFonts w:ascii="Arial" w:hAnsi="Arial" w:cs="Arial"/>
                      <w:i/>
                      <w:iCs/>
                      <w:sz w:val="20"/>
                      <w:szCs w:val="17"/>
                    </w:rPr>
                    <w:t>Zones de protection</w:t>
                  </w:r>
                  <w:r>
                    <w:rPr>
                      <w:rStyle w:val="lev"/>
                      <w:rFonts w:ascii="Arial" w:hAnsi="Arial" w:cs="Arial"/>
                      <w:i/>
                      <w:iCs/>
                      <w:sz w:val="20"/>
                      <w:szCs w:val="17"/>
                    </w:rPr>
                    <w:t> :</w:t>
                  </w:r>
                </w:p>
                <w:p w:rsidR="00EA612F" w:rsidRPr="00045045" w:rsidRDefault="00EA612F" w:rsidP="00EA612F">
                  <w:pPr>
                    <w:jc w:val="both"/>
                    <w:rPr>
                      <w:rFonts w:ascii="Arial" w:hAnsi="Arial" w:cs="Arial"/>
                      <w:i/>
                      <w:iCs/>
                      <w:sz w:val="20"/>
                      <w:szCs w:val="17"/>
                    </w:rPr>
                  </w:pPr>
                  <w:r w:rsidRPr="00045045">
                    <w:rPr>
                      <w:rStyle w:val="lev"/>
                      <w:rFonts w:ascii="Arial" w:hAnsi="Arial" w:cs="Arial"/>
                      <w:i/>
                      <w:iCs/>
                      <w:sz w:val="20"/>
                      <w:szCs w:val="17"/>
                    </w:rPr>
                    <w:t xml:space="preserve"> </w:t>
                  </w:r>
                  <w:r w:rsidRPr="00045045">
                    <w:rPr>
                      <w:rStyle w:val="Accentuation"/>
                      <w:rFonts w:ascii="Arial" w:hAnsi="Arial" w:cs="Arial"/>
                      <w:sz w:val="20"/>
                      <w:szCs w:val="17"/>
                    </w:rPr>
                    <w:t>- rapprochée : Zones 1 ou Z1, dites d'"effets mortels"</w:t>
                  </w:r>
                  <w:r w:rsidRPr="00045045">
                    <w:rPr>
                      <w:rFonts w:ascii="Arial" w:hAnsi="Arial" w:cs="Arial"/>
                      <w:sz w:val="32"/>
                    </w:rPr>
                    <w:br/>
                  </w:r>
                  <w:r w:rsidRPr="00045045">
                    <w:rPr>
                      <w:rStyle w:val="Accentuation"/>
                      <w:rFonts w:ascii="Arial" w:hAnsi="Arial" w:cs="Arial"/>
                      <w:sz w:val="20"/>
                      <w:szCs w:val="17"/>
                    </w:rPr>
                    <w:t>- éloignée : Zones 2 ou Z2 dites de "blessures irrémédiables"</w:t>
                  </w:r>
                </w:p>
              </w:txbxContent>
            </v:textbox>
            <w10:wrap type="tight"/>
          </v:shape>
        </w:pict>
      </w: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Cambria" w:hAnsi="Cambria" w:cs="Arial"/>
          <w:sz w:val="18"/>
        </w:rPr>
      </w:pPr>
    </w:p>
    <w:p w:rsidR="00EA612F" w:rsidRDefault="00EA612F" w:rsidP="00EA612F">
      <w:pPr>
        <w:jc w:val="both"/>
        <w:rPr>
          <w:rFonts w:ascii="Arial" w:hAnsi="Arial" w:cs="Arial"/>
          <w:b/>
          <w:bCs/>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CD5C8E" w:rsidRDefault="00CD5C8E" w:rsidP="00A25AB9">
      <w:pPr>
        <w:rPr>
          <w:sz w:val="28"/>
          <w:szCs w:val="28"/>
        </w:rPr>
      </w:pPr>
    </w:p>
    <w:p w:rsidR="00EA612F" w:rsidRDefault="00EA612F" w:rsidP="00A25AB9">
      <w:pPr>
        <w:rPr>
          <w:sz w:val="28"/>
          <w:szCs w:val="28"/>
        </w:rPr>
      </w:pPr>
    </w:p>
    <w:p w:rsidR="005F0DC0" w:rsidRDefault="005F0DC0" w:rsidP="00A25AB9">
      <w:pPr>
        <w:rPr>
          <w:sz w:val="28"/>
          <w:szCs w:val="28"/>
        </w:rPr>
      </w:pPr>
    </w:p>
    <w:p w:rsidR="00EA612F" w:rsidRPr="00423411" w:rsidRDefault="00EA612F" w:rsidP="00EA612F">
      <w:pPr>
        <w:jc w:val="both"/>
        <w:rPr>
          <w:sz w:val="20"/>
        </w:rPr>
      </w:pPr>
      <w:hyperlink r:id="rId16" w:history="1">
        <w:r w:rsidRPr="00423411">
          <w:rPr>
            <w:rStyle w:val="Lienhypertexte"/>
            <w:rFonts w:ascii="Cambria" w:hAnsi="Cambria"/>
          </w:rPr>
          <w:t>http://geoconfluences.ens-lsh.fr/doc/transv/Risque/RisqueScient3.htm</w:t>
        </w:r>
      </w:hyperlink>
    </w:p>
    <w:p w:rsidR="00EA612F" w:rsidRDefault="00EA612F" w:rsidP="00A25AB9">
      <w:pPr>
        <w:rPr>
          <w:sz w:val="28"/>
          <w:szCs w:val="28"/>
        </w:rPr>
      </w:pPr>
    </w:p>
    <w:p w:rsidR="00EA612F" w:rsidRDefault="00A91721" w:rsidP="00A25AB9">
      <w:pPr>
        <w:rPr>
          <w:sz w:val="28"/>
          <w:szCs w:val="28"/>
        </w:rPr>
      </w:pPr>
      <w:r>
        <w:rPr>
          <w:noProof/>
          <w:lang w:eastAsia="fr-FR"/>
        </w:rPr>
        <w:drawing>
          <wp:anchor distT="0" distB="0" distL="114300" distR="114300" simplePos="0" relativeHeight="251657728" behindDoc="1" locked="0" layoutInCell="1" allowOverlap="1">
            <wp:simplePos x="0" y="0"/>
            <wp:positionH relativeFrom="column">
              <wp:posOffset>3503930</wp:posOffset>
            </wp:positionH>
            <wp:positionV relativeFrom="paragraph">
              <wp:posOffset>35560</wp:posOffset>
            </wp:positionV>
            <wp:extent cx="2477770" cy="2477770"/>
            <wp:effectExtent l="19050" t="0" r="0" b="0"/>
            <wp:wrapTight wrapText="bothSides">
              <wp:wrapPolygon edited="0">
                <wp:start x="-166" y="0"/>
                <wp:lineTo x="-166" y="21423"/>
                <wp:lineTo x="21589" y="21423"/>
                <wp:lineTo x="21589" y="0"/>
                <wp:lineTo x="-166" y="0"/>
              </wp:wrapPolygon>
            </wp:wrapTight>
            <wp:docPr id="10" name="Image 10" descr="7D88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D880188"/>
                    <pic:cNvPicPr>
                      <a:picLocks noChangeAspect="1" noChangeArrowheads="1"/>
                    </pic:cNvPicPr>
                  </pic:nvPicPr>
                  <pic:blipFill>
                    <a:blip r:embed="rId17" cstate="print"/>
                    <a:srcRect/>
                    <a:stretch>
                      <a:fillRect/>
                    </a:stretch>
                  </pic:blipFill>
                  <pic:spPr bwMode="auto">
                    <a:xfrm>
                      <a:off x="0" y="0"/>
                      <a:ext cx="2477770" cy="247777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6704" behindDoc="1" locked="0" layoutInCell="1" allowOverlap="1">
            <wp:simplePos x="0" y="0"/>
            <wp:positionH relativeFrom="column">
              <wp:posOffset>318135</wp:posOffset>
            </wp:positionH>
            <wp:positionV relativeFrom="paragraph">
              <wp:posOffset>35560</wp:posOffset>
            </wp:positionV>
            <wp:extent cx="2441575" cy="3524250"/>
            <wp:effectExtent l="19050" t="0" r="0" b="0"/>
            <wp:wrapTight wrapText="bothSides">
              <wp:wrapPolygon edited="0">
                <wp:start x="-169" y="0"/>
                <wp:lineTo x="-169" y="21483"/>
                <wp:lineTo x="21572" y="21483"/>
                <wp:lineTo x="21572" y="0"/>
                <wp:lineTo x="-169" y="0"/>
              </wp:wrapPolygon>
            </wp:wrapTight>
            <wp:docPr id="9" name="Image 9" descr="C42B4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42B41EA"/>
                    <pic:cNvPicPr>
                      <a:picLocks noChangeAspect="1" noChangeArrowheads="1"/>
                    </pic:cNvPicPr>
                  </pic:nvPicPr>
                  <pic:blipFill>
                    <a:blip r:embed="rId18" cstate="print"/>
                    <a:srcRect/>
                    <a:stretch>
                      <a:fillRect/>
                    </a:stretch>
                  </pic:blipFill>
                  <pic:spPr bwMode="auto">
                    <a:xfrm>
                      <a:off x="0" y="0"/>
                      <a:ext cx="2441575" cy="3524250"/>
                    </a:xfrm>
                    <a:prstGeom prst="rect">
                      <a:avLst/>
                    </a:prstGeom>
                    <a:noFill/>
                    <a:ln w="9525">
                      <a:noFill/>
                      <a:miter lim="800000"/>
                      <a:headEnd/>
                      <a:tailEnd/>
                    </a:ln>
                  </pic:spPr>
                </pic:pic>
              </a:graphicData>
            </a:graphic>
          </wp:anchor>
        </w:drawing>
      </w:r>
    </w:p>
    <w:p w:rsidR="00EA612F" w:rsidRDefault="00EA612F" w:rsidP="00A25AB9">
      <w:pPr>
        <w:rPr>
          <w:sz w:val="28"/>
          <w:szCs w:val="28"/>
        </w:rPr>
      </w:pPr>
    </w:p>
    <w:p w:rsidR="00EA612F" w:rsidRDefault="00EA612F" w:rsidP="00A25AB9">
      <w:pPr>
        <w:rPr>
          <w:sz w:val="28"/>
          <w:szCs w:val="28"/>
        </w:rPr>
      </w:pPr>
    </w:p>
    <w:p w:rsidR="001F4CC5" w:rsidRDefault="001F4CC5" w:rsidP="00A25AB9">
      <w:pPr>
        <w:rPr>
          <w:sz w:val="28"/>
          <w:szCs w:val="28"/>
        </w:rPr>
      </w:pPr>
    </w:p>
    <w:p w:rsidR="001F4CC5" w:rsidRDefault="001F4CC5" w:rsidP="00A25AB9">
      <w:pPr>
        <w:rPr>
          <w:sz w:val="28"/>
          <w:szCs w:val="28"/>
        </w:rPr>
      </w:pPr>
    </w:p>
    <w:p w:rsidR="001F4CC5" w:rsidRDefault="001F4CC5" w:rsidP="00A25AB9">
      <w:pPr>
        <w:rPr>
          <w:sz w:val="28"/>
          <w:szCs w:val="28"/>
        </w:rPr>
      </w:pPr>
    </w:p>
    <w:p w:rsidR="001F4CC5" w:rsidRDefault="001F4CC5" w:rsidP="00A25AB9">
      <w:pPr>
        <w:rPr>
          <w:sz w:val="28"/>
          <w:szCs w:val="28"/>
        </w:rPr>
      </w:pPr>
    </w:p>
    <w:p w:rsidR="001F4CC5" w:rsidRDefault="001F4CC5" w:rsidP="00A25AB9">
      <w:pPr>
        <w:rPr>
          <w:sz w:val="28"/>
          <w:szCs w:val="28"/>
        </w:rPr>
      </w:pPr>
    </w:p>
    <w:p w:rsidR="001F4CC5" w:rsidRDefault="001F4CC5" w:rsidP="00A25AB9">
      <w:pPr>
        <w:rPr>
          <w:sz w:val="28"/>
          <w:szCs w:val="28"/>
        </w:rPr>
      </w:pPr>
    </w:p>
    <w:p w:rsidR="001F4CC5" w:rsidRDefault="001F4CC5" w:rsidP="00A25AB9">
      <w:pPr>
        <w:rPr>
          <w:sz w:val="28"/>
          <w:szCs w:val="28"/>
        </w:rPr>
      </w:pPr>
    </w:p>
    <w:p w:rsidR="001F4CC5" w:rsidRDefault="001F4CC5" w:rsidP="00A25AB9">
      <w:pPr>
        <w:rPr>
          <w:sz w:val="28"/>
          <w:szCs w:val="28"/>
        </w:rPr>
      </w:pPr>
    </w:p>
    <w:p w:rsidR="001F4CC5" w:rsidRDefault="001F4CC5" w:rsidP="00A25AB9">
      <w:pPr>
        <w:rPr>
          <w:sz w:val="28"/>
          <w:szCs w:val="28"/>
        </w:rPr>
      </w:pPr>
    </w:p>
    <w:p w:rsidR="001F4CC5" w:rsidRDefault="001F4CC5" w:rsidP="00A25AB9">
      <w:pPr>
        <w:rPr>
          <w:sz w:val="28"/>
          <w:szCs w:val="28"/>
        </w:rPr>
      </w:pPr>
    </w:p>
    <w:p w:rsidR="007C25F6" w:rsidRDefault="007C25F6" w:rsidP="00B5238D">
      <w:pPr>
        <w:ind w:left="284"/>
        <w:rPr>
          <w:sz w:val="28"/>
          <w:szCs w:val="28"/>
        </w:rPr>
      </w:pPr>
    </w:p>
    <w:p w:rsidR="007C25F6" w:rsidRDefault="007C25F6" w:rsidP="00B5238D">
      <w:pPr>
        <w:ind w:left="284"/>
        <w:rPr>
          <w:sz w:val="28"/>
          <w:szCs w:val="28"/>
        </w:rPr>
      </w:pPr>
    </w:p>
    <w:p w:rsidR="007C25F6" w:rsidRDefault="007C25F6" w:rsidP="00B5238D">
      <w:pPr>
        <w:ind w:left="284"/>
        <w:rPr>
          <w:sz w:val="28"/>
          <w:szCs w:val="28"/>
        </w:rPr>
      </w:pPr>
    </w:p>
    <w:p w:rsidR="007C25F6" w:rsidRDefault="007C25F6" w:rsidP="00B5238D">
      <w:pPr>
        <w:ind w:left="284"/>
        <w:rPr>
          <w:sz w:val="28"/>
          <w:szCs w:val="28"/>
        </w:rPr>
      </w:pPr>
    </w:p>
    <w:p w:rsidR="007C25F6" w:rsidRPr="00423411" w:rsidRDefault="00B5238D" w:rsidP="007C25F6">
      <w:pPr>
        <w:tabs>
          <w:tab w:val="left" w:pos="3630"/>
          <w:tab w:val="center" w:pos="5375"/>
        </w:tabs>
        <w:rPr>
          <w:sz w:val="20"/>
        </w:rPr>
      </w:pPr>
      <w:r w:rsidRPr="00423411">
        <w:rPr>
          <w:sz w:val="20"/>
        </w:rPr>
        <w:t xml:space="preserve">In </w:t>
      </w:r>
      <w:r w:rsidRPr="00423411">
        <w:rPr>
          <w:i/>
          <w:sz w:val="20"/>
        </w:rPr>
        <w:t>historiens et géographes</w:t>
      </w:r>
      <w:r w:rsidRPr="00423411">
        <w:rPr>
          <w:sz w:val="20"/>
        </w:rPr>
        <w:t xml:space="preserve"> n°376, 2001</w:t>
      </w:r>
      <w:r w:rsidR="007C25F6">
        <w:rPr>
          <w:sz w:val="20"/>
        </w:rPr>
        <w:t xml:space="preserve">                                                     </w:t>
      </w:r>
      <w:r w:rsidR="007C25F6" w:rsidRPr="00423411">
        <w:rPr>
          <w:sz w:val="20"/>
        </w:rPr>
        <w:t xml:space="preserve">In </w:t>
      </w:r>
      <w:r w:rsidR="007C25F6" w:rsidRPr="00423411">
        <w:rPr>
          <w:i/>
          <w:sz w:val="20"/>
        </w:rPr>
        <w:t>historiens et géographes</w:t>
      </w:r>
      <w:r w:rsidR="007C25F6" w:rsidRPr="00423411">
        <w:rPr>
          <w:sz w:val="20"/>
        </w:rPr>
        <w:t xml:space="preserve"> n°376, 2001</w:t>
      </w:r>
    </w:p>
    <w:p w:rsidR="00B5238D" w:rsidRPr="00423411" w:rsidRDefault="00B5238D" w:rsidP="00B5238D">
      <w:pPr>
        <w:ind w:left="284"/>
        <w:rPr>
          <w:sz w:val="20"/>
        </w:rPr>
      </w:pPr>
    </w:p>
    <w:p w:rsidR="00B5238D" w:rsidRPr="00B5238D" w:rsidRDefault="00C7218B" w:rsidP="00A25AB9">
      <w:pPr>
        <w:rPr>
          <w:b/>
          <w:sz w:val="28"/>
          <w:szCs w:val="28"/>
        </w:rPr>
      </w:pPr>
      <w:r>
        <w:rPr>
          <w:noProof/>
          <w:sz w:val="28"/>
          <w:szCs w:val="28"/>
          <w:lang w:eastAsia="fr-FR"/>
        </w:rPr>
        <w:pict>
          <v:shape id="_x0000_s1036" type="#_x0000_t202" style="position:absolute;margin-left:-4.8pt;margin-top:3.95pt;width:353.35pt;height:220.4pt;z-index:251658752">
            <v:textbox>
              <w:txbxContent>
                <w:p w:rsidR="00C7218B" w:rsidRDefault="00A91721" w:rsidP="00C7218B">
                  <w:pPr>
                    <w:rPr>
                      <w:rStyle w:val="lev"/>
                      <w:rFonts w:ascii="Arial" w:hAnsi="Arial" w:cs="Arial"/>
                      <w:b w:val="0"/>
                      <w:bCs w:val="0"/>
                      <w:sz w:val="20"/>
                      <w:szCs w:val="20"/>
                    </w:rPr>
                  </w:pPr>
                  <w:r>
                    <w:rPr>
                      <w:rFonts w:ascii="Arial" w:hAnsi="Arial" w:cs="Arial"/>
                      <w:b/>
                      <w:bCs/>
                      <w:noProof/>
                      <w:sz w:val="20"/>
                      <w:szCs w:val="20"/>
                      <w:lang w:eastAsia="fr-FR"/>
                    </w:rPr>
                    <w:drawing>
                      <wp:inline distT="0" distB="0" distL="0" distR="0">
                        <wp:extent cx="4257675" cy="2552700"/>
                        <wp:effectExtent l="19050" t="0" r="9525" b="0"/>
                        <wp:docPr id="1" name="Image 1" descr="1EE9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EE99690"/>
                                <pic:cNvPicPr>
                                  <a:picLocks noChangeAspect="1" noChangeArrowheads="1"/>
                                </pic:cNvPicPr>
                              </pic:nvPicPr>
                              <pic:blipFill>
                                <a:blip r:embed="rId19"/>
                                <a:srcRect/>
                                <a:stretch>
                                  <a:fillRect/>
                                </a:stretch>
                              </pic:blipFill>
                              <pic:spPr bwMode="auto">
                                <a:xfrm>
                                  <a:off x="0" y="0"/>
                                  <a:ext cx="4257675" cy="2552700"/>
                                </a:xfrm>
                                <a:prstGeom prst="rect">
                                  <a:avLst/>
                                </a:prstGeom>
                                <a:noFill/>
                                <a:ln w="9525">
                                  <a:noFill/>
                                  <a:miter lim="800000"/>
                                  <a:headEnd/>
                                  <a:tailEnd/>
                                </a:ln>
                              </pic:spPr>
                            </pic:pic>
                          </a:graphicData>
                        </a:graphic>
                      </wp:inline>
                    </w:drawing>
                  </w:r>
                </w:p>
                <w:p w:rsidR="00C7218B" w:rsidRPr="003B04E9" w:rsidRDefault="00C7218B" w:rsidP="00C7218B">
                  <w:pPr>
                    <w:jc w:val="right"/>
                    <w:rPr>
                      <w:rFonts w:ascii="Cambria" w:hAnsi="Cambria"/>
                      <w:sz w:val="18"/>
                      <w:szCs w:val="18"/>
                    </w:rPr>
                  </w:pPr>
                  <w:r w:rsidRPr="00533A7B">
                    <w:rPr>
                      <w:rFonts w:ascii="Cambria" w:hAnsi="Cambria"/>
                      <w:i/>
                      <w:sz w:val="18"/>
                      <w:szCs w:val="18"/>
                    </w:rPr>
                    <w:t>Aléas et enjeux, les risques technologiques</w:t>
                  </w:r>
                  <w:r>
                    <w:rPr>
                      <w:rFonts w:ascii="Cambria" w:hAnsi="Cambria"/>
                      <w:sz w:val="18"/>
                      <w:szCs w:val="18"/>
                    </w:rPr>
                    <w:t>, TDC, 845, déc. 2002</w:t>
                  </w:r>
                </w:p>
              </w:txbxContent>
            </v:textbox>
            <w10:wrap type="square"/>
          </v:shape>
        </w:pict>
      </w: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83239C" w:rsidRDefault="0083239C" w:rsidP="0083239C">
      <w:pPr>
        <w:jc w:val="both"/>
      </w:pPr>
    </w:p>
    <w:p w:rsidR="0083239C" w:rsidRPr="002707F8" w:rsidRDefault="0083239C" w:rsidP="0083239C">
      <w:pPr>
        <w:rPr>
          <w:sz w:val="16"/>
        </w:rPr>
      </w:pPr>
      <w:r w:rsidRPr="002707F8">
        <w:rPr>
          <w:sz w:val="16"/>
        </w:rPr>
        <w:t xml:space="preserve">In </w:t>
      </w:r>
      <w:r w:rsidRPr="002707F8">
        <w:rPr>
          <w:i/>
          <w:sz w:val="16"/>
        </w:rPr>
        <w:t>historiens et géographes</w:t>
      </w:r>
      <w:r w:rsidRPr="002707F8">
        <w:rPr>
          <w:sz w:val="16"/>
        </w:rPr>
        <w:t>, n°</w:t>
      </w:r>
      <w:r w:rsidRPr="003B04E9">
        <w:rPr>
          <w:sz w:val="16"/>
        </w:rPr>
        <w:t>376, 2001</w:t>
      </w:r>
    </w:p>
    <w:p w:rsidR="00B5238D" w:rsidRDefault="00B5238D" w:rsidP="00B5238D">
      <w:pPr>
        <w:tabs>
          <w:tab w:val="left" w:pos="3630"/>
          <w:tab w:val="center" w:pos="5375"/>
        </w:tabs>
        <w:rPr>
          <w:sz w:val="28"/>
          <w:szCs w:val="28"/>
        </w:rPr>
      </w:pPr>
    </w:p>
    <w:p w:rsidR="00B5238D" w:rsidRDefault="00B5238D" w:rsidP="00A25AB9">
      <w:pPr>
        <w:rPr>
          <w:sz w:val="28"/>
          <w:szCs w:val="28"/>
        </w:rPr>
      </w:pPr>
    </w:p>
    <w:p w:rsidR="00C7218B" w:rsidRDefault="00C7218B" w:rsidP="00A25AB9">
      <w:pPr>
        <w:rPr>
          <w:sz w:val="28"/>
          <w:szCs w:val="28"/>
        </w:rPr>
      </w:pPr>
    </w:p>
    <w:p w:rsidR="00C7218B" w:rsidRDefault="00C7218B" w:rsidP="00A25AB9">
      <w:pPr>
        <w:rPr>
          <w:sz w:val="28"/>
          <w:szCs w:val="28"/>
        </w:rPr>
      </w:pPr>
    </w:p>
    <w:p w:rsidR="00C7218B" w:rsidRDefault="00C7218B" w:rsidP="00A25AB9">
      <w:pPr>
        <w:rPr>
          <w:sz w:val="28"/>
          <w:szCs w:val="28"/>
        </w:rPr>
      </w:pPr>
    </w:p>
    <w:p w:rsidR="00C7218B" w:rsidRDefault="00C7218B" w:rsidP="00A25AB9">
      <w:pPr>
        <w:rPr>
          <w:sz w:val="28"/>
          <w:szCs w:val="28"/>
        </w:rPr>
      </w:pPr>
    </w:p>
    <w:p w:rsidR="00C7218B" w:rsidRDefault="00C7218B" w:rsidP="00A25AB9">
      <w:pPr>
        <w:rPr>
          <w:sz w:val="28"/>
          <w:szCs w:val="28"/>
        </w:rPr>
      </w:pPr>
    </w:p>
    <w:p w:rsidR="00C7218B" w:rsidRDefault="00C7218B" w:rsidP="00A25AB9">
      <w:pPr>
        <w:rPr>
          <w:sz w:val="28"/>
          <w:szCs w:val="28"/>
        </w:rPr>
      </w:pPr>
    </w:p>
    <w:p w:rsidR="00C7218B" w:rsidRDefault="00C7218B" w:rsidP="00A25AB9">
      <w:pPr>
        <w:rPr>
          <w:sz w:val="28"/>
          <w:szCs w:val="28"/>
        </w:rPr>
      </w:pPr>
    </w:p>
    <w:p w:rsidR="00C7218B" w:rsidRDefault="00C7218B" w:rsidP="00A25AB9">
      <w:pPr>
        <w:rPr>
          <w:sz w:val="28"/>
          <w:szCs w:val="28"/>
        </w:rPr>
      </w:pPr>
    </w:p>
    <w:p w:rsidR="00333C4F" w:rsidRDefault="00333C4F" w:rsidP="00333C4F">
      <w:pPr>
        <w:keepNext/>
      </w:pPr>
    </w:p>
    <w:p w:rsidR="00333C4F" w:rsidRDefault="005E5BA4" w:rsidP="00333C4F">
      <w:pPr>
        <w:keepNext/>
      </w:pPr>
      <w:r>
        <w:rPr>
          <w:rFonts w:ascii="Arial" w:hAnsi="Arial" w:cs="Arial"/>
          <w:b/>
          <w:noProof/>
          <w:color w:val="00CC00"/>
          <w:sz w:val="18"/>
          <w:szCs w:val="18"/>
        </w:rPr>
        <w:pict>
          <v:oval id="_x0000_s1037" style="position:absolute;margin-left:-210.45pt;margin-top:102.5pt;width:33.75pt;height:36.75pt;z-index:251659776" filled="f" strokecolor="red" strokeweight="2.25pt">
            <v:shadow on="t" offset=",3pt" offset2=",2pt"/>
            <v:textbox style="mso-next-textbox:#_x0000_s1037">
              <w:txbxContent>
                <w:p w:rsidR="0083239C" w:rsidRDefault="0083239C" w:rsidP="0083239C"/>
              </w:txbxContent>
            </v:textbox>
          </v:oval>
        </w:pict>
      </w:r>
    </w:p>
    <w:p w:rsidR="00A25679" w:rsidRPr="00AD6174" w:rsidRDefault="00A25679" w:rsidP="00A25679">
      <w:pPr>
        <w:rPr>
          <w:sz w:val="16"/>
        </w:rPr>
      </w:pPr>
      <w:r w:rsidRPr="002707F8">
        <w:rPr>
          <w:sz w:val="16"/>
        </w:rPr>
        <w:t xml:space="preserve">In </w:t>
      </w:r>
      <w:r w:rsidRPr="002707F8">
        <w:rPr>
          <w:i/>
          <w:sz w:val="16"/>
        </w:rPr>
        <w:t>historiens et géographes</w:t>
      </w:r>
      <w:r w:rsidRPr="002707F8">
        <w:rPr>
          <w:sz w:val="16"/>
        </w:rPr>
        <w:t>, n°</w:t>
      </w:r>
      <w:r w:rsidRPr="003B04E9">
        <w:rPr>
          <w:sz w:val="16"/>
        </w:rPr>
        <w:t>376, 2001</w:t>
      </w:r>
    </w:p>
    <w:p w:rsidR="00333C4F" w:rsidRDefault="00333C4F" w:rsidP="00333C4F">
      <w:pPr>
        <w:keepNext/>
      </w:pPr>
    </w:p>
    <w:p w:rsidR="00333C4F" w:rsidRDefault="00A91721" w:rsidP="00333C4F">
      <w:pPr>
        <w:keepNext/>
      </w:pPr>
      <w:r>
        <w:rPr>
          <w:noProof/>
          <w:lang w:eastAsia="fr-FR"/>
        </w:rPr>
        <w:drawing>
          <wp:anchor distT="0" distB="0" distL="114300" distR="114300" simplePos="0" relativeHeight="251661824" behindDoc="1" locked="0" layoutInCell="1" allowOverlap="1">
            <wp:simplePos x="0" y="0"/>
            <wp:positionH relativeFrom="column">
              <wp:posOffset>3228340</wp:posOffset>
            </wp:positionH>
            <wp:positionV relativeFrom="paragraph">
              <wp:posOffset>-133350</wp:posOffset>
            </wp:positionV>
            <wp:extent cx="3569970" cy="3562350"/>
            <wp:effectExtent l="19050" t="0" r="0" b="0"/>
            <wp:wrapTight wrapText="bothSides">
              <wp:wrapPolygon edited="0">
                <wp:start x="-115" y="0"/>
                <wp:lineTo x="-115" y="21484"/>
                <wp:lineTo x="21554" y="21484"/>
                <wp:lineTo x="21554" y="0"/>
                <wp:lineTo x="-115" y="0"/>
              </wp:wrapPolygon>
            </wp:wrapTight>
            <wp:docPr id="16" name="Image 16" descr="geoca_0035-113X_1996_num_71_1_T1_0038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ca_0035-113X_1996_num_71_1_T1_0038_0000"/>
                    <pic:cNvPicPr>
                      <a:picLocks noChangeAspect="1" noChangeArrowheads="1"/>
                    </pic:cNvPicPr>
                  </pic:nvPicPr>
                  <pic:blipFill>
                    <a:blip r:embed="rId20" cstate="print"/>
                    <a:srcRect l="5882" t="20296" r="4903" b="18683"/>
                    <a:stretch>
                      <a:fillRect/>
                    </a:stretch>
                  </pic:blipFill>
                  <pic:spPr bwMode="auto">
                    <a:xfrm>
                      <a:off x="0" y="0"/>
                      <a:ext cx="3569970" cy="356235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0800" behindDoc="1" locked="0" layoutInCell="1" allowOverlap="1">
            <wp:simplePos x="0" y="0"/>
            <wp:positionH relativeFrom="column">
              <wp:posOffset>-123825</wp:posOffset>
            </wp:positionH>
            <wp:positionV relativeFrom="paragraph">
              <wp:posOffset>-238125</wp:posOffset>
            </wp:positionV>
            <wp:extent cx="3224530" cy="4657725"/>
            <wp:effectExtent l="19050" t="0" r="0" b="0"/>
            <wp:wrapTight wrapText="bothSides">
              <wp:wrapPolygon edited="0">
                <wp:start x="-128" y="0"/>
                <wp:lineTo x="-128" y="21556"/>
                <wp:lineTo x="21566" y="21556"/>
                <wp:lineTo x="21566" y="0"/>
                <wp:lineTo x="-128" y="0"/>
              </wp:wrapPolygon>
            </wp:wrapTight>
            <wp:docPr id="15" name="Image 15" descr="geoca_0035-113X_1996_num_71_1_T1_003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oca_0035-113X_1996_num_71_1_T1_0032_0000"/>
                    <pic:cNvPicPr>
                      <a:picLocks noChangeAspect="1" noChangeArrowheads="1"/>
                    </pic:cNvPicPr>
                  </pic:nvPicPr>
                  <pic:blipFill>
                    <a:blip r:embed="rId21" cstate="print"/>
                    <a:srcRect l="5789" t="7942" r="5789" b="4512"/>
                    <a:stretch>
                      <a:fillRect/>
                    </a:stretch>
                  </pic:blipFill>
                  <pic:spPr bwMode="auto">
                    <a:xfrm>
                      <a:off x="0" y="0"/>
                      <a:ext cx="3224530" cy="4657725"/>
                    </a:xfrm>
                    <a:prstGeom prst="rect">
                      <a:avLst/>
                    </a:prstGeom>
                    <a:noFill/>
                    <a:ln w="9525">
                      <a:noFill/>
                      <a:miter lim="800000"/>
                      <a:headEnd/>
                      <a:tailEnd/>
                    </a:ln>
                  </pic:spPr>
                </pic:pic>
              </a:graphicData>
            </a:graphic>
          </wp:anchor>
        </w:drawing>
      </w:r>
    </w:p>
    <w:p w:rsidR="00333C4F" w:rsidRDefault="00333C4F" w:rsidP="00333C4F">
      <w:pPr>
        <w:rPr>
          <w:sz w:val="16"/>
        </w:rPr>
      </w:pPr>
    </w:p>
    <w:p w:rsidR="00333C4F" w:rsidRDefault="00333C4F" w:rsidP="00333C4F">
      <w:pPr>
        <w:rPr>
          <w:sz w:val="16"/>
        </w:rPr>
      </w:pPr>
    </w:p>
    <w:p w:rsidR="00333C4F" w:rsidRDefault="00333C4F" w:rsidP="00333C4F">
      <w:pPr>
        <w:rPr>
          <w:sz w:val="16"/>
        </w:rPr>
      </w:pPr>
    </w:p>
    <w:p w:rsidR="00333C4F" w:rsidRDefault="00333C4F" w:rsidP="00333C4F">
      <w:pPr>
        <w:rPr>
          <w:sz w:val="16"/>
        </w:rPr>
      </w:pPr>
    </w:p>
    <w:p w:rsidR="00333C4F" w:rsidRPr="00AD6174" w:rsidRDefault="00333C4F" w:rsidP="00333C4F">
      <w:pPr>
        <w:rPr>
          <w:sz w:val="16"/>
        </w:rPr>
      </w:pPr>
      <w:r w:rsidRPr="002707F8">
        <w:rPr>
          <w:sz w:val="16"/>
        </w:rPr>
        <w:t xml:space="preserve">In </w:t>
      </w:r>
      <w:r w:rsidRPr="002707F8">
        <w:rPr>
          <w:i/>
          <w:sz w:val="16"/>
        </w:rPr>
        <w:t>historiens et géographes</w:t>
      </w:r>
      <w:r w:rsidRPr="002707F8">
        <w:rPr>
          <w:sz w:val="16"/>
        </w:rPr>
        <w:t>, n°</w:t>
      </w:r>
      <w:r w:rsidRPr="003B04E9">
        <w:rPr>
          <w:sz w:val="16"/>
        </w:rPr>
        <w:t>376, 2001</w:t>
      </w:r>
    </w:p>
    <w:p w:rsidR="00C7218B" w:rsidRDefault="0087488A" w:rsidP="00A25AB9">
      <w:pPr>
        <w:rPr>
          <w:sz w:val="28"/>
          <w:szCs w:val="28"/>
        </w:rPr>
      </w:pPr>
      <w:r>
        <w:rPr>
          <w:noProof/>
          <w:sz w:val="28"/>
          <w:szCs w:val="28"/>
          <w:lang w:eastAsia="fr-FR"/>
        </w:rPr>
        <w:pict>
          <v:shape id="_x0000_s1042" type="#_x0000_t202" style="position:absolute;margin-left:9pt;margin-top:16.05pt;width:322.65pt;height:245pt;z-index:251663872;mso-height-percent:200;mso-height-percent:200;mso-width-relative:margin;mso-height-relative:margin">
            <v:textbox style="mso-fit-shape-to-text:t">
              <w:txbxContent>
                <w:p w:rsidR="0087488A" w:rsidRPr="007A074C" w:rsidRDefault="0087488A" w:rsidP="0087488A">
                  <w:pPr>
                    <w:ind w:firstLine="567"/>
                    <w:jc w:val="both"/>
                    <w:rPr>
                      <w:rFonts w:ascii="Arial" w:hAnsi="Arial" w:cs="Arial"/>
                    </w:rPr>
                  </w:pPr>
                  <w:r w:rsidRPr="007A074C">
                    <w:rPr>
                      <w:rFonts w:ascii="Arial" w:hAnsi="Arial" w:cs="Arial"/>
                    </w:rPr>
                    <w:t xml:space="preserve">Après la catastrophe du Port Edouard-Herriot, une réflexion approfondie a été menée afin d’améliorer la sécurité dans les dépôts de liquides inflammables. Un groupe de travail a été mis en place et le législateur a revu sa copie à partir de conclusions du rapport d’analyse. C’est ainsi que le 9 novembre 1989, une instruction technique ministérielle impose de nouvelles normes aux industriels concernant la conception  des cuvettes de rétention et les moyens d’intervention en cas d’accident. </w:t>
                  </w:r>
                </w:p>
                <w:p w:rsidR="0087488A" w:rsidRPr="007A074C" w:rsidRDefault="0087488A" w:rsidP="0087488A">
                  <w:pPr>
                    <w:ind w:firstLine="567"/>
                    <w:jc w:val="both"/>
                    <w:rPr>
                      <w:rFonts w:ascii="Arial" w:hAnsi="Arial" w:cs="Arial"/>
                    </w:rPr>
                  </w:pPr>
                  <w:r w:rsidRPr="007A074C">
                    <w:rPr>
                      <w:rFonts w:ascii="Arial" w:hAnsi="Arial" w:cs="Arial"/>
                    </w:rPr>
                    <w:t>Sur le plan local, les différents partenaires (Ville de Lyon, services de l’Etat, Compagnie nationale du Rhône, pétroliers) ont eu aussi fait évoluer le Port Edouard-Herriot afin d’améliorer la sécurité des dépôts. Le 24 mars 1997, ils ont signé un protocole d’accord se traduisant notamment par un éloignement des établissements pétroliers des lieus publics et la disparition de quatre d’entre eux proches du stade de Gerland. Au total, la capacité de stockage du port est passée de 400 000 à 345 000 mètres cubes.</w:t>
                  </w:r>
                </w:p>
                <w:p w:rsidR="0087488A" w:rsidRPr="00FC5804" w:rsidRDefault="0087488A" w:rsidP="0087488A">
                  <w:pPr>
                    <w:jc w:val="right"/>
                    <w:rPr>
                      <w:rFonts w:ascii="Cambria" w:hAnsi="Cambria"/>
                      <w:sz w:val="16"/>
                    </w:rPr>
                  </w:pPr>
                  <w:r w:rsidRPr="00E00736">
                    <w:rPr>
                      <w:rFonts w:ascii="Cambria" w:hAnsi="Cambria"/>
                      <w:i/>
                      <w:sz w:val="16"/>
                    </w:rPr>
                    <w:t>Aléas et enjeux, les risques technologiques</w:t>
                  </w:r>
                  <w:r>
                    <w:rPr>
                      <w:rFonts w:ascii="Cambria" w:hAnsi="Cambria"/>
                      <w:sz w:val="16"/>
                    </w:rPr>
                    <w:t>, TDC, 845, déc. 2002</w:t>
                  </w:r>
                </w:p>
              </w:txbxContent>
            </v:textbox>
          </v:shape>
        </w:pict>
      </w:r>
      <w:r w:rsidR="005E5BA4">
        <w:rPr>
          <w:noProof/>
          <w:sz w:val="28"/>
          <w:szCs w:val="28"/>
          <w:lang w:eastAsia="fr-FR"/>
        </w:rPr>
        <w:pict>
          <v:shape id="_x0000_s1041" type="#_x0000_t202" style="position:absolute;margin-left:9.55pt;margin-top:16.05pt;width:173.2pt;height:342pt;z-index:-251653632;mso-wrap-style:none" wrapcoords="-94 -47 -94 21553 21694 21553 21694 -47 -94 -47">
            <v:textbox style="mso-next-textbox:#_x0000_s1041">
              <w:txbxContent>
                <w:p w:rsidR="00892C8A" w:rsidRDefault="00A91721" w:rsidP="00892C8A">
                  <w:pPr>
                    <w:pStyle w:val="Titre3"/>
                    <w:jc w:val="both"/>
                    <w:rPr>
                      <w:rStyle w:val="lev"/>
                      <w:rFonts w:ascii="Arial" w:hAnsi="Arial" w:cs="Arial"/>
                      <w:sz w:val="20"/>
                      <w:szCs w:val="20"/>
                    </w:rPr>
                  </w:pPr>
                  <w:r>
                    <w:rPr>
                      <w:rFonts w:ascii="Arial" w:hAnsi="Arial" w:cs="Arial"/>
                      <w:b w:val="0"/>
                      <w:bCs w:val="0"/>
                      <w:noProof/>
                      <w:sz w:val="20"/>
                      <w:szCs w:val="20"/>
                    </w:rPr>
                    <w:drawing>
                      <wp:inline distT="0" distB="0" distL="0" distR="0">
                        <wp:extent cx="1952625" cy="23717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l="4446" r="6099" b="5476"/>
                                <a:stretch>
                                  <a:fillRect/>
                                </a:stretch>
                              </pic:blipFill>
                              <pic:spPr bwMode="auto">
                                <a:xfrm>
                                  <a:off x="0" y="0"/>
                                  <a:ext cx="1952625" cy="2371725"/>
                                </a:xfrm>
                                <a:prstGeom prst="rect">
                                  <a:avLst/>
                                </a:prstGeom>
                                <a:noFill/>
                                <a:ln w="9525">
                                  <a:noFill/>
                                  <a:miter lim="800000"/>
                                  <a:headEnd/>
                                  <a:tailEnd/>
                                </a:ln>
                              </pic:spPr>
                            </pic:pic>
                          </a:graphicData>
                        </a:graphic>
                      </wp:inline>
                    </w:drawing>
                  </w:r>
                </w:p>
                <w:p w:rsidR="00892C8A" w:rsidRDefault="00A91721" w:rsidP="00892C8A">
                  <w:pPr>
                    <w:pStyle w:val="Titre3"/>
                    <w:jc w:val="both"/>
                    <w:rPr>
                      <w:rStyle w:val="lev"/>
                      <w:rFonts w:ascii="Arial" w:hAnsi="Arial" w:cs="Arial"/>
                      <w:sz w:val="20"/>
                      <w:szCs w:val="20"/>
                    </w:rPr>
                  </w:pPr>
                  <w:r>
                    <w:rPr>
                      <w:rFonts w:ascii="Arial" w:hAnsi="Arial" w:cs="Arial"/>
                      <w:b w:val="0"/>
                      <w:bCs w:val="0"/>
                      <w:noProof/>
                      <w:sz w:val="20"/>
                      <w:szCs w:val="20"/>
                    </w:rPr>
                    <w:drawing>
                      <wp:inline distT="0" distB="0" distL="0" distR="0">
                        <wp:extent cx="1866900" cy="1190625"/>
                        <wp:effectExtent l="19050" t="0" r="0" b="0"/>
                        <wp:docPr id="3" name="Image 3" descr="49D50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9D504DC"/>
                                <pic:cNvPicPr>
                                  <a:picLocks noChangeAspect="1" noChangeArrowheads="1"/>
                                </pic:cNvPicPr>
                              </pic:nvPicPr>
                              <pic:blipFill>
                                <a:blip r:embed="rId23"/>
                                <a:srcRect l="5119" t="8795" r="3955"/>
                                <a:stretch>
                                  <a:fillRect/>
                                </a:stretch>
                              </pic:blipFill>
                              <pic:spPr bwMode="auto">
                                <a:xfrm>
                                  <a:off x="0" y="0"/>
                                  <a:ext cx="1866900" cy="1190625"/>
                                </a:xfrm>
                                <a:prstGeom prst="rect">
                                  <a:avLst/>
                                </a:prstGeom>
                                <a:noFill/>
                                <a:ln w="9525">
                                  <a:noFill/>
                                  <a:miter lim="800000"/>
                                  <a:headEnd/>
                                  <a:tailEnd/>
                                </a:ln>
                              </pic:spPr>
                            </pic:pic>
                          </a:graphicData>
                        </a:graphic>
                      </wp:inline>
                    </w:drawing>
                  </w:r>
                </w:p>
                <w:p w:rsidR="00892C8A" w:rsidRDefault="00892C8A" w:rsidP="00892C8A">
                  <w:pPr>
                    <w:jc w:val="right"/>
                    <w:rPr>
                      <w:rFonts w:ascii="Cambria" w:hAnsi="Cambria"/>
                      <w:sz w:val="18"/>
                      <w:szCs w:val="18"/>
                    </w:rPr>
                  </w:pPr>
                  <w:r w:rsidRPr="00533A7B">
                    <w:rPr>
                      <w:rFonts w:ascii="Cambria" w:hAnsi="Cambria"/>
                      <w:i/>
                      <w:sz w:val="18"/>
                      <w:szCs w:val="18"/>
                    </w:rPr>
                    <w:t>Aléas et enjeux, les risques technologiques</w:t>
                  </w:r>
                  <w:r w:rsidRPr="00533A7B">
                    <w:rPr>
                      <w:rFonts w:ascii="Cambria" w:hAnsi="Cambria"/>
                      <w:sz w:val="18"/>
                      <w:szCs w:val="18"/>
                    </w:rPr>
                    <w:t xml:space="preserve">, </w:t>
                  </w:r>
                </w:p>
                <w:p w:rsidR="00892C8A" w:rsidRPr="00533A7B" w:rsidRDefault="00892C8A" w:rsidP="00892C8A">
                  <w:pPr>
                    <w:jc w:val="right"/>
                    <w:rPr>
                      <w:rFonts w:ascii="Cambria" w:hAnsi="Cambria"/>
                      <w:sz w:val="18"/>
                      <w:szCs w:val="18"/>
                    </w:rPr>
                  </w:pPr>
                  <w:r w:rsidRPr="00533A7B">
                    <w:rPr>
                      <w:sz w:val="18"/>
                      <w:szCs w:val="18"/>
                    </w:rPr>
                    <w:t>TDC, 845, déc. 2002</w:t>
                  </w:r>
                </w:p>
              </w:txbxContent>
            </v:textbox>
            <w10:wrap type="tight"/>
          </v:shape>
        </w:pict>
      </w:r>
    </w:p>
    <w:p w:rsidR="00C7218B" w:rsidRDefault="00C7218B" w:rsidP="00A25AB9">
      <w:pPr>
        <w:rPr>
          <w:sz w:val="28"/>
          <w:szCs w:val="28"/>
        </w:rPr>
      </w:pPr>
    </w:p>
    <w:p w:rsidR="00C7218B" w:rsidRDefault="00C7218B" w:rsidP="00A25AB9">
      <w:pPr>
        <w:rPr>
          <w:sz w:val="28"/>
          <w:szCs w:val="28"/>
        </w:rPr>
      </w:pPr>
    </w:p>
    <w:p w:rsidR="00C7218B" w:rsidRDefault="00C7218B" w:rsidP="00A25AB9">
      <w:pPr>
        <w:rPr>
          <w:sz w:val="28"/>
          <w:szCs w:val="28"/>
        </w:rPr>
      </w:pPr>
    </w:p>
    <w:p w:rsidR="00C7218B" w:rsidRDefault="00C7218B" w:rsidP="00A25AB9">
      <w:pPr>
        <w:rPr>
          <w:sz w:val="28"/>
          <w:szCs w:val="28"/>
        </w:rPr>
      </w:pPr>
    </w:p>
    <w:p w:rsidR="00C7218B" w:rsidRDefault="00C7218B" w:rsidP="00A25AB9">
      <w:pPr>
        <w:rPr>
          <w:sz w:val="28"/>
          <w:szCs w:val="28"/>
        </w:rPr>
      </w:pPr>
    </w:p>
    <w:p w:rsidR="00B5238D" w:rsidRDefault="00B5238D" w:rsidP="00A25AB9">
      <w:pPr>
        <w:rPr>
          <w:sz w:val="28"/>
          <w:szCs w:val="28"/>
        </w:rPr>
      </w:pPr>
    </w:p>
    <w:p w:rsidR="00B5238D" w:rsidRDefault="00B5238D" w:rsidP="00A25AB9">
      <w:pPr>
        <w:rPr>
          <w:sz w:val="28"/>
          <w:szCs w:val="28"/>
        </w:rPr>
      </w:pPr>
    </w:p>
    <w:p w:rsidR="00B5238D" w:rsidRDefault="00B5238D"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87488A" w:rsidRDefault="0087488A" w:rsidP="00A25AB9">
      <w:pPr>
        <w:rPr>
          <w:sz w:val="28"/>
          <w:szCs w:val="28"/>
        </w:rPr>
      </w:pPr>
    </w:p>
    <w:p w:rsidR="00B14057" w:rsidRDefault="00B14057" w:rsidP="00B14057">
      <w:pPr>
        <w:jc w:val="center"/>
        <w:rPr>
          <w:rFonts w:ascii="Arial" w:hAnsi="Arial" w:cs="Arial"/>
          <w:color w:val="000000"/>
          <w:sz w:val="20"/>
        </w:rPr>
      </w:pPr>
    </w:p>
    <w:p w:rsidR="00B14057" w:rsidRDefault="00B14057" w:rsidP="00B14057">
      <w:pPr>
        <w:jc w:val="right"/>
        <w:rPr>
          <w:rFonts w:ascii="Arial" w:hAnsi="Arial" w:cs="Arial"/>
          <w:color w:val="000000"/>
          <w:sz w:val="16"/>
        </w:rPr>
      </w:pPr>
    </w:p>
    <w:p w:rsidR="00B14057" w:rsidRDefault="00B14057" w:rsidP="00B14057">
      <w:pPr>
        <w:jc w:val="right"/>
        <w:rPr>
          <w:rFonts w:ascii="Arial" w:hAnsi="Arial" w:cs="Arial"/>
          <w:color w:val="000000"/>
          <w:sz w:val="16"/>
        </w:rPr>
      </w:pPr>
      <w:hyperlink r:id="rId24" w:history="1">
        <w:r w:rsidRPr="006D6177">
          <w:rPr>
            <w:rStyle w:val="Lienhypertexte"/>
            <w:rFonts w:ascii="Arial" w:hAnsi="Arial" w:cs="Arial"/>
            <w:sz w:val="16"/>
          </w:rPr>
          <w:t>http://www.developpement-durable.gouv.fr/</w:t>
        </w:r>
      </w:hyperlink>
    </w:p>
    <w:p w:rsidR="0087488A" w:rsidRPr="00A25AB9" w:rsidRDefault="00A91721" w:rsidP="00A25AB9">
      <w:pPr>
        <w:rPr>
          <w:sz w:val="28"/>
          <w:szCs w:val="28"/>
        </w:rPr>
      </w:pPr>
      <w:r>
        <w:rPr>
          <w:noProof/>
          <w:lang w:eastAsia="fr-FR"/>
        </w:rPr>
        <w:drawing>
          <wp:anchor distT="0" distB="0" distL="114300" distR="114300" simplePos="0" relativeHeight="251665920" behindDoc="1" locked="0" layoutInCell="1" allowOverlap="1">
            <wp:simplePos x="0" y="0"/>
            <wp:positionH relativeFrom="column">
              <wp:posOffset>3314700</wp:posOffset>
            </wp:positionH>
            <wp:positionV relativeFrom="paragraph">
              <wp:posOffset>346075</wp:posOffset>
            </wp:positionV>
            <wp:extent cx="3286125" cy="2114550"/>
            <wp:effectExtent l="19050" t="0" r="9525" b="0"/>
            <wp:wrapTight wrapText="bothSides">
              <wp:wrapPolygon edited="0">
                <wp:start x="-125" y="0"/>
                <wp:lineTo x="-125" y="21405"/>
                <wp:lineTo x="21663" y="21405"/>
                <wp:lineTo x="21663" y="0"/>
                <wp:lineTo x="-125"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l="4167" t="11200"/>
                    <a:stretch>
                      <a:fillRect/>
                    </a:stretch>
                  </pic:blipFill>
                  <pic:spPr bwMode="auto">
                    <a:xfrm>
                      <a:off x="0" y="0"/>
                      <a:ext cx="3286125" cy="2114550"/>
                    </a:xfrm>
                    <a:prstGeom prst="rect">
                      <a:avLst/>
                    </a:prstGeom>
                    <a:noFill/>
                    <a:ln w="9525">
                      <a:noFill/>
                      <a:miter lim="800000"/>
                      <a:headEnd/>
                      <a:tailEnd/>
                    </a:ln>
                  </pic:spPr>
                </pic:pic>
              </a:graphicData>
            </a:graphic>
          </wp:anchor>
        </w:drawing>
      </w:r>
      <w:r w:rsidR="00DB0657">
        <w:rPr>
          <w:noProof/>
          <w:sz w:val="28"/>
          <w:szCs w:val="28"/>
          <w:lang w:eastAsia="fr-FR"/>
        </w:rPr>
        <w:pict>
          <v:shape id="_x0000_s1043" type="#_x0000_t202" style="position:absolute;margin-left:2.8pt;margin-top:4.65pt;width:234.8pt;height:304.3pt;z-index:251664896;mso-wrap-style:none;mso-position-horizontal-relative:text;mso-position-vertical-relative:text">
            <v:textbox style="mso-next-textbox:#_x0000_s1043;mso-fit-shape-to-text:t">
              <w:txbxContent>
                <w:p w:rsidR="00DB0657" w:rsidRDefault="00A91721" w:rsidP="00DB0657">
                  <w:r>
                    <w:rPr>
                      <w:noProof/>
                      <w:lang w:eastAsia="fr-FR"/>
                    </w:rPr>
                    <w:drawing>
                      <wp:inline distT="0" distB="0" distL="0" distR="0">
                        <wp:extent cx="2790825" cy="3629025"/>
                        <wp:effectExtent l="19050" t="0" r="9525" b="0"/>
                        <wp:docPr id="4" name="Image 4" descr="293A2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93A2EC3"/>
                                <pic:cNvPicPr>
                                  <a:picLocks noChangeAspect="1" noChangeArrowheads="1"/>
                                </pic:cNvPicPr>
                              </pic:nvPicPr>
                              <pic:blipFill>
                                <a:blip r:embed="rId26"/>
                                <a:srcRect l="2303" t="20694" r="2258"/>
                                <a:stretch>
                                  <a:fillRect/>
                                </a:stretch>
                              </pic:blipFill>
                              <pic:spPr bwMode="auto">
                                <a:xfrm>
                                  <a:off x="0" y="0"/>
                                  <a:ext cx="2790825" cy="3629025"/>
                                </a:xfrm>
                                <a:prstGeom prst="rect">
                                  <a:avLst/>
                                </a:prstGeom>
                                <a:noFill/>
                                <a:ln w="9525">
                                  <a:noFill/>
                                  <a:miter lim="800000"/>
                                  <a:headEnd/>
                                  <a:tailEnd/>
                                </a:ln>
                              </pic:spPr>
                            </pic:pic>
                          </a:graphicData>
                        </a:graphic>
                      </wp:inline>
                    </w:drawing>
                  </w:r>
                </w:p>
                <w:p w:rsidR="00DB0657" w:rsidRPr="00E47F21" w:rsidRDefault="00DB0657" w:rsidP="00DB0657">
                  <w:pPr>
                    <w:jc w:val="right"/>
                    <w:rPr>
                      <w:rFonts w:ascii="Cambria" w:hAnsi="Cambria"/>
                      <w:sz w:val="18"/>
                      <w:szCs w:val="18"/>
                    </w:rPr>
                  </w:pPr>
                  <w:r w:rsidRPr="000458AA">
                    <w:rPr>
                      <w:rFonts w:ascii="Cambria" w:hAnsi="Cambria"/>
                      <w:i/>
                      <w:sz w:val="18"/>
                      <w:szCs w:val="18"/>
                    </w:rPr>
                    <w:t>Les risques majeurs</w:t>
                  </w:r>
                  <w:r>
                    <w:rPr>
                      <w:rFonts w:ascii="Cambria" w:hAnsi="Cambria"/>
                      <w:sz w:val="18"/>
                      <w:szCs w:val="18"/>
                    </w:rPr>
                    <w:t>, TDC, 824, nov. 2001</w:t>
                  </w:r>
                </w:p>
              </w:txbxContent>
            </v:textbox>
            <w10:wrap type="square"/>
          </v:shape>
        </w:pict>
      </w:r>
    </w:p>
    <w:sectPr w:rsidR="0087488A" w:rsidRPr="00A25AB9" w:rsidSect="00A25AB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2307BF"/>
    <w:multiLevelType w:val="hybridMultilevel"/>
    <w:tmpl w:val="0F86DC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08"/>
  <w:hyphenationZone w:val="425"/>
  <w:drawingGridHorizontalSpacing w:val="110"/>
  <w:displayHorizontalDrawingGridEvery w:val="2"/>
  <w:characterSpacingControl w:val="doNotCompress"/>
  <w:compat/>
  <w:rsids>
    <w:rsidRoot w:val="00A25AB9"/>
    <w:rsid w:val="00137EF1"/>
    <w:rsid w:val="001F4CC5"/>
    <w:rsid w:val="00333C4F"/>
    <w:rsid w:val="004F48F5"/>
    <w:rsid w:val="005E5BA4"/>
    <w:rsid w:val="005F0DC0"/>
    <w:rsid w:val="006857C1"/>
    <w:rsid w:val="007C25F6"/>
    <w:rsid w:val="0083239C"/>
    <w:rsid w:val="0087488A"/>
    <w:rsid w:val="00892C8A"/>
    <w:rsid w:val="00A25679"/>
    <w:rsid w:val="00A25AB9"/>
    <w:rsid w:val="00A91721"/>
    <w:rsid w:val="00B14057"/>
    <w:rsid w:val="00B5238D"/>
    <w:rsid w:val="00C7218B"/>
    <w:rsid w:val="00CD5C8E"/>
    <w:rsid w:val="00DB0657"/>
    <w:rsid w:val="00DD46B0"/>
    <w:rsid w:val="00DF752C"/>
    <w:rsid w:val="00EA612F"/>
    <w:rsid w:val="00F615BD"/>
    <w:rsid w:val="00F73234"/>
    <w:rsid w:val="00FB61FB"/>
    <w:rsid w:val="00FF16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colormenu v:ext="edit" fill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5BD"/>
    <w:rPr>
      <w:sz w:val="22"/>
      <w:szCs w:val="22"/>
      <w:lang w:eastAsia="en-US"/>
    </w:rPr>
  </w:style>
  <w:style w:type="paragraph" w:styleId="Titre3">
    <w:name w:val="heading 3"/>
    <w:basedOn w:val="Normal"/>
    <w:link w:val="Titre3Car"/>
    <w:qFormat/>
    <w:rsid w:val="00892C8A"/>
    <w:pPr>
      <w:spacing w:before="100" w:beforeAutospacing="1" w:after="100" w:afterAutospacing="1"/>
      <w:outlineLvl w:val="2"/>
    </w:pPr>
    <w:rPr>
      <w:rFonts w:ascii="Times New Roman" w:eastAsia="Times New Roman" w:hAnsi="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1">
    <w:name w:val="corps1"/>
    <w:basedOn w:val="Policepardfaut"/>
    <w:rsid w:val="004F48F5"/>
    <w:rPr>
      <w:rFonts w:ascii="Verdana" w:hAnsi="Verdana" w:hint="default"/>
      <w:b w:val="0"/>
      <w:bCs w:val="0"/>
      <w:i w:val="0"/>
      <w:iCs w:val="0"/>
      <w:color w:val="000000"/>
      <w:sz w:val="17"/>
      <w:szCs w:val="17"/>
    </w:rPr>
  </w:style>
  <w:style w:type="character" w:styleId="Lienhypertexte">
    <w:name w:val="Hyperlink"/>
    <w:basedOn w:val="Policepardfaut"/>
    <w:uiPriority w:val="99"/>
    <w:unhideWhenUsed/>
    <w:rsid w:val="004F48F5"/>
    <w:rPr>
      <w:color w:val="0000FF"/>
      <w:u w:val="single"/>
    </w:rPr>
  </w:style>
  <w:style w:type="character" w:styleId="Lienhypertextesuivivisit">
    <w:name w:val="FollowedHyperlink"/>
    <w:basedOn w:val="Policepardfaut"/>
    <w:uiPriority w:val="99"/>
    <w:semiHidden/>
    <w:unhideWhenUsed/>
    <w:rsid w:val="006857C1"/>
    <w:rPr>
      <w:color w:val="800080"/>
      <w:u w:val="single"/>
    </w:rPr>
  </w:style>
  <w:style w:type="paragraph" w:styleId="Corpsdetexte3">
    <w:name w:val="Body Text 3"/>
    <w:basedOn w:val="Normal"/>
    <w:link w:val="Corpsdetexte3Car"/>
    <w:rsid w:val="00DF752C"/>
    <w:pPr>
      <w:jc w:val="both"/>
    </w:pPr>
    <w:rPr>
      <w:rFonts w:ascii="Arial" w:eastAsia="Times New Roman" w:hAnsi="Arial" w:cs="Arial"/>
      <w:sz w:val="18"/>
      <w:szCs w:val="24"/>
      <w:lang w:eastAsia="fr-FR"/>
    </w:rPr>
  </w:style>
  <w:style w:type="character" w:customStyle="1" w:styleId="Corpsdetexte3Car">
    <w:name w:val="Corps de texte 3 Car"/>
    <w:basedOn w:val="Policepardfaut"/>
    <w:link w:val="Corpsdetexte3"/>
    <w:rsid w:val="00DF752C"/>
    <w:rPr>
      <w:rFonts w:ascii="Arial" w:eastAsia="Times New Roman" w:hAnsi="Arial" w:cs="Arial"/>
      <w:sz w:val="18"/>
      <w:szCs w:val="24"/>
    </w:rPr>
  </w:style>
  <w:style w:type="paragraph" w:customStyle="1" w:styleId="title1">
    <w:name w:val="title1"/>
    <w:basedOn w:val="Normal"/>
    <w:rsid w:val="00DF752C"/>
    <w:rPr>
      <w:rFonts w:ascii="Verdana" w:eastAsia="Times New Roman" w:hAnsi="Verdana"/>
      <w:b/>
      <w:bCs/>
      <w:color w:val="2C2F36"/>
      <w:sz w:val="18"/>
      <w:szCs w:val="18"/>
      <w:lang w:eastAsia="fr-FR"/>
    </w:rPr>
  </w:style>
  <w:style w:type="paragraph" w:customStyle="1" w:styleId="corps">
    <w:name w:val="corps"/>
    <w:basedOn w:val="Normal"/>
    <w:rsid w:val="00DF752C"/>
    <w:pPr>
      <w:spacing w:before="100" w:beforeAutospacing="1" w:after="100" w:afterAutospacing="1"/>
    </w:pPr>
    <w:rPr>
      <w:rFonts w:ascii="Verdana" w:eastAsia="Times New Roman" w:hAnsi="Verdana"/>
      <w:color w:val="000000"/>
      <w:sz w:val="17"/>
      <w:szCs w:val="17"/>
      <w:lang w:eastAsia="fr-FR"/>
    </w:rPr>
  </w:style>
  <w:style w:type="character" w:styleId="lev">
    <w:name w:val="Strong"/>
    <w:basedOn w:val="Policepardfaut"/>
    <w:qFormat/>
    <w:rsid w:val="00DF752C"/>
    <w:rPr>
      <w:b/>
      <w:bCs/>
    </w:rPr>
  </w:style>
  <w:style w:type="character" w:styleId="Accentuation">
    <w:name w:val="Emphasis"/>
    <w:basedOn w:val="Policepardfaut"/>
    <w:uiPriority w:val="20"/>
    <w:qFormat/>
    <w:rsid w:val="00EA612F"/>
    <w:rPr>
      <w:i/>
      <w:iCs/>
    </w:rPr>
  </w:style>
  <w:style w:type="character" w:customStyle="1" w:styleId="Titre3Car">
    <w:name w:val="Titre 3 Car"/>
    <w:basedOn w:val="Policepardfaut"/>
    <w:link w:val="Titre3"/>
    <w:rsid w:val="00892C8A"/>
    <w:rPr>
      <w:rFonts w:ascii="Times New Roman" w:eastAsia="Times New Roman" w:hAnsi="Times New Roman"/>
      <w:b/>
      <w:bCs/>
      <w:sz w:val="27"/>
      <w:szCs w:val="27"/>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ne-alpes.drire.gouv.fr/" TargetMode="External"/><Relationship Id="rId13" Type="http://schemas.openxmlformats.org/officeDocument/2006/relationships/image" Target="media/image5.gif"/><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rhone-alpes.drire.gouv.fr/" TargetMode="External"/><Relationship Id="rId12" Type="http://schemas.openxmlformats.org/officeDocument/2006/relationships/hyperlink" Target="http://www.lexpress.fr/actualite/environnement/eviter-un-autre-azf_483981.html" TargetMode="Externa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geoconfluences.ens-lsh.fr/doc/transv/Risque/RisqueScient3.htm"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www.lexpress.fr/imgs/dynamique/435716_chimie.gif" TargetMode="External"/><Relationship Id="rId24" Type="http://schemas.openxmlformats.org/officeDocument/2006/relationships/hyperlink" Target="http://www.developpement-durable.gouv.fr/" TargetMode="External"/><Relationship Id="rId5" Type="http://schemas.openxmlformats.org/officeDocument/2006/relationships/image" Target="media/image1.png"/><Relationship Id="rId15" Type="http://schemas.openxmlformats.org/officeDocument/2006/relationships/hyperlink" Target="http://www.lexpress.fr/actualite/environnement/eviter-un-autre-azf_483981.html"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geoconfluences.ens-lsh.fr/doc/transv/Risque/images/Donze3.gif" TargetMode="External"/><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634</Words>
  <Characters>3487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4113</CharactersWithSpaces>
  <SharedDoc>false</SharedDoc>
  <HLinks>
    <vt:vector size="48" baseType="variant">
      <vt:variant>
        <vt:i4>917576</vt:i4>
      </vt:variant>
      <vt:variant>
        <vt:i4>15</vt:i4>
      </vt:variant>
      <vt:variant>
        <vt:i4>0</vt:i4>
      </vt:variant>
      <vt:variant>
        <vt:i4>5</vt:i4>
      </vt:variant>
      <vt:variant>
        <vt:lpwstr>http://www.developpement-durable.gouv.fr/</vt:lpwstr>
      </vt:variant>
      <vt:variant>
        <vt:lpwstr/>
      </vt:variant>
      <vt:variant>
        <vt:i4>1245191</vt:i4>
      </vt:variant>
      <vt:variant>
        <vt:i4>12</vt:i4>
      </vt:variant>
      <vt:variant>
        <vt:i4>0</vt:i4>
      </vt:variant>
      <vt:variant>
        <vt:i4>5</vt:i4>
      </vt:variant>
      <vt:variant>
        <vt:lpwstr>http://geoconfluences.ens-lsh.fr/doc/transv/Risque/RisqueScient3.htm</vt:lpwstr>
      </vt:variant>
      <vt:variant>
        <vt:lpwstr/>
      </vt:variant>
      <vt:variant>
        <vt:i4>3473411</vt:i4>
      </vt:variant>
      <vt:variant>
        <vt:i4>9</vt:i4>
      </vt:variant>
      <vt:variant>
        <vt:i4>0</vt:i4>
      </vt:variant>
      <vt:variant>
        <vt:i4>5</vt:i4>
      </vt:variant>
      <vt:variant>
        <vt:lpwstr>http://www.lexpress.fr/actualite/environnement/eviter-un-autre-azf_483981.html</vt:lpwstr>
      </vt:variant>
      <vt:variant>
        <vt:lpwstr/>
      </vt:variant>
      <vt:variant>
        <vt:i4>3473411</vt:i4>
      </vt:variant>
      <vt:variant>
        <vt:i4>6</vt:i4>
      </vt:variant>
      <vt:variant>
        <vt:i4>0</vt:i4>
      </vt:variant>
      <vt:variant>
        <vt:i4>5</vt:i4>
      </vt:variant>
      <vt:variant>
        <vt:lpwstr>http://www.lexpress.fr/actualite/environnement/eviter-un-autre-azf_483981.html</vt:lpwstr>
      </vt:variant>
      <vt:variant>
        <vt:lpwstr/>
      </vt:variant>
      <vt:variant>
        <vt:i4>1507341</vt:i4>
      </vt:variant>
      <vt:variant>
        <vt:i4>3</vt:i4>
      </vt:variant>
      <vt:variant>
        <vt:i4>0</vt:i4>
      </vt:variant>
      <vt:variant>
        <vt:i4>5</vt:i4>
      </vt:variant>
      <vt:variant>
        <vt:lpwstr>http://www.rhone-alpes.drire.gouv.fr/</vt:lpwstr>
      </vt:variant>
      <vt:variant>
        <vt:lpwstr/>
      </vt:variant>
      <vt:variant>
        <vt:i4>1507341</vt:i4>
      </vt:variant>
      <vt:variant>
        <vt:i4>0</vt:i4>
      </vt:variant>
      <vt:variant>
        <vt:i4>0</vt:i4>
      </vt:variant>
      <vt:variant>
        <vt:i4>5</vt:i4>
      </vt:variant>
      <vt:variant>
        <vt:lpwstr>http://www.rhone-alpes.drire.gouv.fr/</vt:lpwstr>
      </vt:variant>
      <vt:variant>
        <vt:lpwstr/>
      </vt:variant>
      <vt:variant>
        <vt:i4>8257567</vt:i4>
      </vt:variant>
      <vt:variant>
        <vt:i4>-1</vt:i4>
      </vt:variant>
      <vt:variant>
        <vt:i4>1028</vt:i4>
      </vt:variant>
      <vt:variant>
        <vt:i4>1</vt:i4>
      </vt:variant>
      <vt:variant>
        <vt:lpwstr>http://www.lexpress.fr/imgs/dynamique/435716_chimie.gif</vt:lpwstr>
      </vt:variant>
      <vt:variant>
        <vt:lpwstr/>
      </vt:variant>
      <vt:variant>
        <vt:i4>4194307</vt:i4>
      </vt:variant>
      <vt:variant>
        <vt:i4>-1</vt:i4>
      </vt:variant>
      <vt:variant>
        <vt:i4>1031</vt:i4>
      </vt:variant>
      <vt:variant>
        <vt:i4>1</vt:i4>
      </vt:variant>
      <vt:variant>
        <vt:lpwstr>http://geoconfluences.ens-lsh.fr/doc/transv/Risque/images/Donze3.gif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dc:creator>
  <cp:lastModifiedBy>Mic</cp:lastModifiedBy>
  <cp:revision>3</cp:revision>
  <dcterms:created xsi:type="dcterms:W3CDTF">2012-04-16T15:55:00Z</dcterms:created>
  <dcterms:modified xsi:type="dcterms:W3CDTF">2012-04-16T15:55:00Z</dcterms:modified>
</cp:coreProperties>
</file>