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834" w:rsidRDefault="00596834" w:rsidP="00260451">
      <w:pPr>
        <w:spacing w:after="0"/>
        <w:jc w:val="center"/>
        <w:rPr>
          <w:b/>
        </w:rPr>
      </w:pPr>
      <w:r>
        <w:rPr>
          <w:b/>
        </w:rPr>
        <w:t>Définition Génocide :</w:t>
      </w:r>
      <w:r w:rsidRPr="00596834">
        <w:rPr>
          <w:b/>
        </w:rPr>
        <w:t xml:space="preserve"> </w:t>
      </w:r>
    </w:p>
    <w:p w:rsidR="00596834" w:rsidRDefault="00CA7853" w:rsidP="00260451">
      <w:pPr>
        <w:spacing w:after="0"/>
        <w:rPr>
          <w:b/>
        </w:rPr>
      </w:pPr>
      <w:r>
        <w:t>Dans la présente Convention le génocide s'entend de l'un quelconque des actes ci-après, commis dans l'intention de détruire, en tout ou en partie, un groupe national, ethnique, racial ou religieux, comme tel : a) Meurtre de membres du groupe; b) Atteinte grave à l'intégrité physique ou mentale de membres du groupe; c) Soumission intentionnelle du groupe à des conditions d'existence devant entraîner sa destruction physique totale ou partielle; d) Mesures visant à entraver les naissances au sein du groupe; e) Transfert forcé d'enfants du groupe à un autre groupe.</w:t>
      </w:r>
    </w:p>
    <w:tbl>
      <w:tblPr>
        <w:tblStyle w:val="Grilledutableau"/>
        <w:tblpPr w:leftFromText="141" w:rightFromText="141" w:vertAnchor="page" w:horzAnchor="margin" w:tblpY="3091"/>
        <w:tblW w:w="15940" w:type="dxa"/>
        <w:tblLook w:val="04A0" w:firstRow="1" w:lastRow="0" w:firstColumn="1" w:lastColumn="0" w:noHBand="0" w:noVBand="1"/>
      </w:tblPr>
      <w:tblGrid>
        <w:gridCol w:w="2656"/>
        <w:gridCol w:w="2656"/>
        <w:gridCol w:w="2657"/>
        <w:gridCol w:w="2657"/>
        <w:gridCol w:w="2657"/>
        <w:gridCol w:w="2657"/>
      </w:tblGrid>
      <w:tr w:rsidR="00260451" w:rsidTr="004B601D">
        <w:trPr>
          <w:trHeight w:val="695"/>
        </w:trPr>
        <w:tc>
          <w:tcPr>
            <w:tcW w:w="2656" w:type="dxa"/>
            <w:tcBorders>
              <w:tl2br w:val="single" w:sz="4" w:space="0" w:color="auto"/>
            </w:tcBorders>
          </w:tcPr>
          <w:p w:rsidR="00260451" w:rsidRDefault="00260451" w:rsidP="00260451"/>
          <w:p w:rsidR="00260451" w:rsidRDefault="00260451" w:rsidP="00260451"/>
          <w:p w:rsidR="00260451" w:rsidRDefault="00260451" w:rsidP="00260451"/>
        </w:tc>
        <w:tc>
          <w:tcPr>
            <w:tcW w:w="2656" w:type="dxa"/>
          </w:tcPr>
          <w:p w:rsidR="00260451" w:rsidRPr="00F20379" w:rsidRDefault="00260451" w:rsidP="00260451">
            <w:pPr>
              <w:jc w:val="center"/>
              <w:rPr>
                <w:b/>
              </w:rPr>
            </w:pPr>
            <w:r w:rsidRPr="00F20379">
              <w:rPr>
                <w:b/>
              </w:rPr>
              <w:t>Volonté et organisation d’un Etat pour éliminer un groupe</w:t>
            </w:r>
          </w:p>
        </w:tc>
        <w:tc>
          <w:tcPr>
            <w:tcW w:w="2657" w:type="dxa"/>
          </w:tcPr>
          <w:p w:rsidR="00260451" w:rsidRPr="00F20379" w:rsidRDefault="00260451" w:rsidP="00260451">
            <w:pPr>
              <w:jc w:val="center"/>
              <w:rPr>
                <w:b/>
              </w:rPr>
            </w:pPr>
            <w:r w:rsidRPr="00F20379">
              <w:rPr>
                <w:b/>
              </w:rPr>
              <w:t>Destruction totale ou partielle</w:t>
            </w:r>
          </w:p>
        </w:tc>
        <w:tc>
          <w:tcPr>
            <w:tcW w:w="2657" w:type="dxa"/>
          </w:tcPr>
          <w:p w:rsidR="00260451" w:rsidRPr="00F20379" w:rsidRDefault="00260451" w:rsidP="00260451">
            <w:pPr>
              <w:jc w:val="center"/>
              <w:rPr>
                <w:b/>
              </w:rPr>
            </w:pPr>
            <w:r w:rsidRPr="00F20379">
              <w:rPr>
                <w:b/>
              </w:rPr>
              <w:t>Catégorie de population ciblée.</w:t>
            </w:r>
          </w:p>
        </w:tc>
        <w:tc>
          <w:tcPr>
            <w:tcW w:w="2657" w:type="dxa"/>
          </w:tcPr>
          <w:p w:rsidR="00260451" w:rsidRPr="00F20379" w:rsidRDefault="00260451" w:rsidP="00260451">
            <w:pPr>
              <w:jc w:val="center"/>
              <w:rPr>
                <w:b/>
              </w:rPr>
            </w:pPr>
            <w:r w:rsidRPr="00F20379">
              <w:rPr>
                <w:b/>
              </w:rPr>
              <w:t>Moyens d’élimination</w:t>
            </w:r>
          </w:p>
          <w:p w:rsidR="00260451" w:rsidRPr="00F20379" w:rsidRDefault="00260451" w:rsidP="00260451">
            <w:pPr>
              <w:jc w:val="center"/>
              <w:rPr>
                <w:b/>
              </w:rPr>
            </w:pPr>
            <w:r w:rsidRPr="00F20379">
              <w:rPr>
                <w:b/>
              </w:rPr>
              <w:t>(massacres, entrave des naissances, mode de vie entrainant la mort)</w:t>
            </w:r>
          </w:p>
        </w:tc>
        <w:tc>
          <w:tcPr>
            <w:tcW w:w="2657" w:type="dxa"/>
          </w:tcPr>
          <w:p w:rsidR="00260451" w:rsidRPr="00F20379" w:rsidRDefault="00260451" w:rsidP="00260451">
            <w:pPr>
              <w:jc w:val="center"/>
              <w:rPr>
                <w:b/>
              </w:rPr>
            </w:pPr>
            <w:r w:rsidRPr="00F20379">
              <w:rPr>
                <w:b/>
              </w:rPr>
              <w:t>Reconnaissances officielles ?</w:t>
            </w:r>
          </w:p>
          <w:p w:rsidR="00260451" w:rsidRPr="00F20379" w:rsidRDefault="00260451" w:rsidP="00260451">
            <w:pPr>
              <w:jc w:val="center"/>
              <w:rPr>
                <w:b/>
              </w:rPr>
            </w:pPr>
            <w:r w:rsidRPr="00F20379">
              <w:rPr>
                <w:b/>
              </w:rPr>
              <w:t>- Selon vous.</w:t>
            </w:r>
          </w:p>
          <w:p w:rsidR="00260451" w:rsidRPr="00F20379" w:rsidRDefault="00260451" w:rsidP="00260451">
            <w:pPr>
              <w:jc w:val="center"/>
              <w:rPr>
                <w:b/>
              </w:rPr>
            </w:pPr>
            <w:r w:rsidRPr="00F20379">
              <w:rPr>
                <w:b/>
              </w:rPr>
              <w:t>- En réalité</w:t>
            </w:r>
          </w:p>
        </w:tc>
      </w:tr>
      <w:tr w:rsidR="00260451" w:rsidTr="006107F6">
        <w:trPr>
          <w:trHeight w:val="1631"/>
        </w:trPr>
        <w:tc>
          <w:tcPr>
            <w:tcW w:w="2656" w:type="dxa"/>
            <w:vAlign w:val="center"/>
          </w:tcPr>
          <w:p w:rsidR="00260451" w:rsidRPr="006107F6" w:rsidRDefault="00260451" w:rsidP="006107F6">
            <w:pPr>
              <w:jc w:val="center"/>
              <w:rPr>
                <w:b/>
                <w:sz w:val="28"/>
                <w:szCs w:val="28"/>
              </w:rPr>
            </w:pPr>
            <w:r w:rsidRPr="006107F6">
              <w:rPr>
                <w:b/>
                <w:sz w:val="28"/>
                <w:szCs w:val="28"/>
              </w:rPr>
              <w:t>Juif et Tzigane pendant la deuxième GM.</w:t>
            </w:r>
          </w:p>
        </w:tc>
        <w:tc>
          <w:tcPr>
            <w:tcW w:w="2656" w:type="dxa"/>
          </w:tcPr>
          <w:p w:rsidR="00260451" w:rsidRDefault="00260451" w:rsidP="00260451">
            <w:r>
              <w:t>Oui, il y a une organisation de l’Etat Nazi et de la bureaucratie pour éliminer.</w:t>
            </w:r>
          </w:p>
        </w:tc>
        <w:tc>
          <w:tcPr>
            <w:tcW w:w="2657" w:type="dxa"/>
          </w:tcPr>
          <w:p w:rsidR="00260451" w:rsidRDefault="00260451" w:rsidP="00260451">
            <w:r>
              <w:t xml:space="preserve">Elimination totale de tous les juifs </w:t>
            </w:r>
            <w:r w:rsidR="00F648D1">
              <w:t xml:space="preserve"> et Tsiganes </w:t>
            </w:r>
            <w:r>
              <w:t>capturés.</w:t>
            </w:r>
          </w:p>
          <w:p w:rsidR="00260451" w:rsidRDefault="00260451" w:rsidP="00F648D1"/>
        </w:tc>
        <w:tc>
          <w:tcPr>
            <w:tcW w:w="2657" w:type="dxa"/>
          </w:tcPr>
          <w:p w:rsidR="00260451" w:rsidRDefault="00260451" w:rsidP="00260451">
            <w:r>
              <w:t>Hommes, femmes et enfants qui sont de confession juives et  assimilés à un peuple par ce critère religieux.</w:t>
            </w:r>
          </w:p>
          <w:p w:rsidR="00260451" w:rsidRDefault="00260451" w:rsidP="00260451">
            <w:r>
              <w:t>Mode de vie Tsigane</w:t>
            </w:r>
          </w:p>
        </w:tc>
        <w:tc>
          <w:tcPr>
            <w:tcW w:w="2657" w:type="dxa"/>
          </w:tcPr>
          <w:p w:rsidR="00260451" w:rsidRDefault="00260451" w:rsidP="00260451">
            <w:r>
              <w:t>Massacres, internement dans des camps</w:t>
            </w:r>
            <w:r w:rsidR="00F648D1">
              <w:t>,</w:t>
            </w:r>
            <w:r>
              <w:t xml:space="preserve"> mal nourris et avec un travail forcé. Séparation hommes et femmes pas de possibilités de naissances.</w:t>
            </w:r>
          </w:p>
        </w:tc>
        <w:tc>
          <w:tcPr>
            <w:tcW w:w="2657" w:type="dxa"/>
          </w:tcPr>
          <w:p w:rsidR="00260451" w:rsidRDefault="00260451" w:rsidP="00260451">
            <w:r>
              <w:t>ONU reconnait officiellement cet épisode comme un génocide.</w:t>
            </w:r>
          </w:p>
        </w:tc>
      </w:tr>
      <w:tr w:rsidR="00260451" w:rsidTr="006107F6">
        <w:trPr>
          <w:trHeight w:val="1727"/>
        </w:trPr>
        <w:tc>
          <w:tcPr>
            <w:tcW w:w="2656" w:type="dxa"/>
            <w:vAlign w:val="center"/>
          </w:tcPr>
          <w:p w:rsidR="00260451" w:rsidRPr="006107F6" w:rsidRDefault="00260451" w:rsidP="006107F6">
            <w:pPr>
              <w:jc w:val="center"/>
              <w:rPr>
                <w:b/>
                <w:sz w:val="28"/>
                <w:szCs w:val="28"/>
              </w:rPr>
            </w:pPr>
            <w:r w:rsidRPr="006107F6">
              <w:rPr>
                <w:b/>
                <w:sz w:val="28"/>
                <w:szCs w:val="28"/>
              </w:rPr>
              <w:t>Rwanda</w:t>
            </w:r>
          </w:p>
        </w:tc>
        <w:tc>
          <w:tcPr>
            <w:tcW w:w="2656" w:type="dxa"/>
          </w:tcPr>
          <w:p w:rsidR="00260451" w:rsidRDefault="00260451" w:rsidP="00260451"/>
        </w:tc>
        <w:tc>
          <w:tcPr>
            <w:tcW w:w="2657" w:type="dxa"/>
          </w:tcPr>
          <w:p w:rsidR="00260451" w:rsidRDefault="00260451" w:rsidP="00260451"/>
        </w:tc>
        <w:tc>
          <w:tcPr>
            <w:tcW w:w="2657" w:type="dxa"/>
          </w:tcPr>
          <w:p w:rsidR="00260451" w:rsidRDefault="00260451" w:rsidP="00260451"/>
        </w:tc>
        <w:tc>
          <w:tcPr>
            <w:tcW w:w="2657" w:type="dxa"/>
          </w:tcPr>
          <w:p w:rsidR="00260451" w:rsidRDefault="00260451" w:rsidP="00260451"/>
        </w:tc>
        <w:tc>
          <w:tcPr>
            <w:tcW w:w="2657" w:type="dxa"/>
          </w:tcPr>
          <w:p w:rsidR="00260451" w:rsidRDefault="00260451" w:rsidP="00260451"/>
        </w:tc>
      </w:tr>
      <w:tr w:rsidR="00260451" w:rsidTr="006107F6">
        <w:trPr>
          <w:trHeight w:val="1727"/>
        </w:trPr>
        <w:tc>
          <w:tcPr>
            <w:tcW w:w="2656" w:type="dxa"/>
            <w:vAlign w:val="center"/>
          </w:tcPr>
          <w:p w:rsidR="00260451" w:rsidRPr="006107F6" w:rsidRDefault="00260451" w:rsidP="006107F6">
            <w:pPr>
              <w:jc w:val="center"/>
              <w:rPr>
                <w:b/>
                <w:sz w:val="28"/>
                <w:szCs w:val="28"/>
              </w:rPr>
            </w:pPr>
            <w:r w:rsidRPr="006107F6">
              <w:rPr>
                <w:b/>
                <w:sz w:val="28"/>
                <w:szCs w:val="28"/>
              </w:rPr>
              <w:t>Yougoslavie</w:t>
            </w:r>
          </w:p>
        </w:tc>
        <w:tc>
          <w:tcPr>
            <w:tcW w:w="2656" w:type="dxa"/>
          </w:tcPr>
          <w:p w:rsidR="00260451" w:rsidRDefault="00260451" w:rsidP="00260451"/>
        </w:tc>
        <w:tc>
          <w:tcPr>
            <w:tcW w:w="2657" w:type="dxa"/>
          </w:tcPr>
          <w:p w:rsidR="00260451" w:rsidRDefault="00260451" w:rsidP="00260451"/>
        </w:tc>
        <w:tc>
          <w:tcPr>
            <w:tcW w:w="2657" w:type="dxa"/>
          </w:tcPr>
          <w:p w:rsidR="00260451" w:rsidRDefault="00260451" w:rsidP="00260451"/>
        </w:tc>
        <w:tc>
          <w:tcPr>
            <w:tcW w:w="2657" w:type="dxa"/>
          </w:tcPr>
          <w:p w:rsidR="00260451" w:rsidRDefault="00260451" w:rsidP="00260451"/>
        </w:tc>
        <w:tc>
          <w:tcPr>
            <w:tcW w:w="2657" w:type="dxa"/>
          </w:tcPr>
          <w:p w:rsidR="00260451" w:rsidRDefault="00260451" w:rsidP="00260451"/>
        </w:tc>
      </w:tr>
      <w:tr w:rsidR="00260451" w:rsidTr="006107F6">
        <w:trPr>
          <w:trHeight w:val="1727"/>
        </w:trPr>
        <w:tc>
          <w:tcPr>
            <w:tcW w:w="2656" w:type="dxa"/>
            <w:vAlign w:val="center"/>
          </w:tcPr>
          <w:p w:rsidR="00260451" w:rsidRPr="006107F6" w:rsidRDefault="00F648D1" w:rsidP="006107F6">
            <w:pPr>
              <w:jc w:val="center"/>
              <w:rPr>
                <w:b/>
                <w:sz w:val="28"/>
                <w:szCs w:val="28"/>
              </w:rPr>
            </w:pPr>
            <w:r w:rsidRPr="006107F6">
              <w:rPr>
                <w:b/>
                <w:sz w:val="28"/>
                <w:szCs w:val="28"/>
              </w:rPr>
              <w:t>Un autre exemple de votre choix. (Travail maison)</w:t>
            </w:r>
          </w:p>
        </w:tc>
        <w:tc>
          <w:tcPr>
            <w:tcW w:w="2656" w:type="dxa"/>
          </w:tcPr>
          <w:p w:rsidR="00260451" w:rsidRDefault="00260451" w:rsidP="00260451"/>
        </w:tc>
        <w:tc>
          <w:tcPr>
            <w:tcW w:w="2657" w:type="dxa"/>
          </w:tcPr>
          <w:p w:rsidR="00260451" w:rsidRDefault="00260451" w:rsidP="00260451"/>
        </w:tc>
        <w:tc>
          <w:tcPr>
            <w:tcW w:w="2657" w:type="dxa"/>
          </w:tcPr>
          <w:p w:rsidR="00260451" w:rsidRDefault="00260451" w:rsidP="00260451"/>
        </w:tc>
        <w:tc>
          <w:tcPr>
            <w:tcW w:w="2657" w:type="dxa"/>
          </w:tcPr>
          <w:p w:rsidR="00260451" w:rsidRDefault="00260451" w:rsidP="00260451"/>
        </w:tc>
        <w:tc>
          <w:tcPr>
            <w:tcW w:w="2657" w:type="dxa"/>
          </w:tcPr>
          <w:p w:rsidR="00260451" w:rsidRDefault="00260451" w:rsidP="00260451"/>
        </w:tc>
      </w:tr>
    </w:tbl>
    <w:p w:rsidR="00596834" w:rsidRPr="002A5E82" w:rsidRDefault="00596834" w:rsidP="00596834">
      <w:pPr>
        <w:jc w:val="center"/>
        <w:rPr>
          <w:b/>
        </w:rPr>
      </w:pPr>
      <w:r w:rsidRPr="002A5E82">
        <w:rPr>
          <w:b/>
        </w:rPr>
        <w:t>Tableau activité</w:t>
      </w:r>
      <w:r w:rsidR="006F7762">
        <w:rPr>
          <w:b/>
        </w:rPr>
        <w:t> : Comment définir un génocide ?</w:t>
      </w:r>
    </w:p>
    <w:p w:rsidR="00F20379" w:rsidRDefault="00F20379" w:rsidP="00E369B7">
      <w:pPr>
        <w:rPr>
          <w:b/>
        </w:rPr>
        <w:sectPr w:rsidR="00F20379" w:rsidSect="00260451">
          <w:headerReference w:type="even" r:id="rId9"/>
          <w:headerReference w:type="default" r:id="rId10"/>
          <w:footerReference w:type="even" r:id="rId11"/>
          <w:footerReference w:type="default" r:id="rId12"/>
          <w:headerReference w:type="first" r:id="rId13"/>
          <w:footerReference w:type="first" r:id="rId14"/>
          <w:pgSz w:w="16838" w:h="11906" w:orient="landscape"/>
          <w:pgMar w:top="2" w:right="720" w:bottom="284" w:left="720" w:header="279" w:footer="19" w:gutter="0"/>
          <w:cols w:space="708"/>
          <w:docGrid w:linePitch="360"/>
        </w:sectPr>
      </w:pPr>
    </w:p>
    <w:p w:rsidR="00E369B7" w:rsidRPr="00260451" w:rsidRDefault="00E369B7" w:rsidP="00260451">
      <w:pPr>
        <w:spacing w:after="120"/>
        <w:jc w:val="center"/>
        <w:rPr>
          <w:b/>
          <w:sz w:val="32"/>
          <w:szCs w:val="32"/>
          <w:u w:val="single"/>
        </w:rPr>
      </w:pPr>
      <w:r w:rsidRPr="00260451">
        <w:rPr>
          <w:b/>
          <w:sz w:val="32"/>
          <w:szCs w:val="32"/>
          <w:u w:val="single"/>
        </w:rPr>
        <w:lastRenderedPageBreak/>
        <w:t>Fiche élève</w:t>
      </w:r>
    </w:p>
    <w:p w:rsidR="002A5E82" w:rsidRDefault="002A5E82" w:rsidP="00D27045">
      <w:pPr>
        <w:pStyle w:val="Paragraphedeliste"/>
        <w:numPr>
          <w:ilvl w:val="0"/>
          <w:numId w:val="1"/>
        </w:numPr>
      </w:pPr>
      <w:r>
        <w:t>A partir de votre dossier documentaire</w:t>
      </w:r>
      <w:r w:rsidR="005F3922">
        <w:t xml:space="preserve"> complétez le tableau ci-dessus sauf la dernière colonne.</w:t>
      </w:r>
    </w:p>
    <w:p w:rsidR="008B1B6A" w:rsidRDefault="008B1B6A" w:rsidP="00E369B7">
      <w:pPr>
        <w:pStyle w:val="Paragraphedeliste"/>
        <w:numPr>
          <w:ilvl w:val="0"/>
          <w:numId w:val="1"/>
        </w:numPr>
      </w:pPr>
      <w:r>
        <w:t>Compar</w:t>
      </w:r>
      <w:r w:rsidR="00E369B7">
        <w:t>ez</w:t>
      </w:r>
      <w:r w:rsidR="00BB6396">
        <w:t xml:space="preserve">  l</w:t>
      </w:r>
      <w:bookmarkStart w:id="0" w:name="_GoBack"/>
      <w:bookmarkEnd w:id="0"/>
      <w:r w:rsidR="007273F4">
        <w:t>es évènements par</w:t>
      </w:r>
      <w:r>
        <w:t xml:space="preserve"> rapport à la définition</w:t>
      </w:r>
      <w:r w:rsidR="00BB6396">
        <w:t xml:space="preserve"> et au génocide juif et Tsigane.</w:t>
      </w:r>
    </w:p>
    <w:p w:rsidR="00596834" w:rsidRPr="001D0AAA" w:rsidRDefault="008B1B6A" w:rsidP="00E369B7">
      <w:pPr>
        <w:pStyle w:val="Paragraphedeliste"/>
        <w:numPr>
          <w:ilvl w:val="0"/>
          <w:numId w:val="1"/>
        </w:numPr>
        <w:rPr>
          <w:b/>
        </w:rPr>
      </w:pPr>
      <w:r>
        <w:t xml:space="preserve"> Répondre à la question : </w:t>
      </w:r>
      <w:r w:rsidR="00596834" w:rsidRPr="001D0AAA">
        <w:rPr>
          <w:b/>
        </w:rPr>
        <w:t>Est-ce que tous les évènements tragiques</w:t>
      </w:r>
      <w:r w:rsidR="00F741C2" w:rsidRPr="001D0AAA">
        <w:rPr>
          <w:b/>
        </w:rPr>
        <w:t xml:space="preserve"> (crimes de masses)</w:t>
      </w:r>
      <w:r w:rsidR="00596834" w:rsidRPr="001D0AAA">
        <w:rPr>
          <w:b/>
        </w:rPr>
        <w:t xml:space="preserve"> des années 1990 peuvent être </w:t>
      </w:r>
      <w:r w:rsidR="004F299D" w:rsidRPr="001D0AAA">
        <w:rPr>
          <w:b/>
        </w:rPr>
        <w:t>assimilés</w:t>
      </w:r>
      <w:r w:rsidR="001D0AAA" w:rsidRPr="001D0AAA">
        <w:rPr>
          <w:b/>
        </w:rPr>
        <w:t xml:space="preserve"> à des</w:t>
      </w:r>
      <w:r w:rsidR="00596834" w:rsidRPr="001D0AAA">
        <w:rPr>
          <w:b/>
        </w:rPr>
        <w:t xml:space="preserve"> génocide</w:t>
      </w:r>
      <w:r w:rsidR="001D0AAA" w:rsidRPr="001D0AAA">
        <w:rPr>
          <w:b/>
        </w:rPr>
        <w:t>s</w:t>
      </w:r>
      <w:r w:rsidR="00596834" w:rsidRPr="001D0AAA">
        <w:rPr>
          <w:b/>
        </w:rPr>
        <w:t> ?</w:t>
      </w:r>
      <w:r w:rsidRPr="001D0AAA">
        <w:rPr>
          <w:b/>
        </w:rPr>
        <w:t xml:space="preserve"> </w:t>
      </w:r>
    </w:p>
    <w:p w:rsidR="005F3922" w:rsidRDefault="005F3922" w:rsidP="00E369B7">
      <w:pPr>
        <w:pStyle w:val="Paragraphedeliste"/>
        <w:numPr>
          <w:ilvl w:val="0"/>
          <w:numId w:val="1"/>
        </w:numPr>
      </w:pPr>
      <w:r>
        <w:t xml:space="preserve">Lecture article du Figaro d’Eugénie Bastié. </w:t>
      </w:r>
      <w:r w:rsidR="00337D51">
        <w:t>Complétez</w:t>
      </w:r>
      <w:r>
        <w:t xml:space="preserve"> la dernière colonne</w:t>
      </w:r>
    </w:p>
    <w:p w:rsidR="005F3922" w:rsidRPr="00337D51" w:rsidRDefault="005F3922" w:rsidP="00337D51">
      <w:pPr>
        <w:pStyle w:val="NormalWeb"/>
        <w:pBdr>
          <w:top w:val="single" w:sz="4" w:space="1" w:color="auto"/>
          <w:left w:val="single" w:sz="4" w:space="4" w:color="auto"/>
          <w:bottom w:val="single" w:sz="4" w:space="1" w:color="auto"/>
          <w:right w:val="single" w:sz="4" w:space="4" w:color="auto"/>
        </w:pBdr>
        <w:shd w:val="clear" w:color="auto" w:fill="FFFFFF"/>
        <w:spacing w:after="225" w:line="270" w:lineRule="atLeast"/>
        <w:jc w:val="both"/>
        <w:rPr>
          <w:rFonts w:ascii="Arial" w:hAnsi="Arial" w:cs="Arial"/>
          <w:b/>
          <w:color w:val="323232"/>
          <w:sz w:val="21"/>
          <w:szCs w:val="21"/>
        </w:rPr>
      </w:pPr>
      <w:r w:rsidRPr="00337D51">
        <w:rPr>
          <w:rFonts w:ascii="Arial" w:hAnsi="Arial" w:cs="Arial"/>
          <w:b/>
          <w:color w:val="323232"/>
          <w:sz w:val="21"/>
          <w:szCs w:val="21"/>
        </w:rPr>
        <w:t>«</w:t>
      </w:r>
      <w:r w:rsidRPr="00337D51">
        <w:rPr>
          <w:rFonts w:ascii="Arial" w:hAnsi="Arial" w:cs="Arial"/>
          <w:b/>
          <w:color w:val="323232"/>
          <w:sz w:val="21"/>
          <w:szCs w:val="21"/>
          <w:u w:val="single"/>
        </w:rPr>
        <w:t>Génocide»: une qualification controversée</w:t>
      </w:r>
      <w:r w:rsidR="00337D51" w:rsidRPr="00337D51">
        <w:rPr>
          <w:rFonts w:ascii="Arial" w:hAnsi="Arial" w:cs="Arial"/>
          <w:b/>
          <w:color w:val="323232"/>
          <w:sz w:val="21"/>
          <w:szCs w:val="21"/>
        </w:rPr>
        <w:t> :</w:t>
      </w:r>
    </w:p>
    <w:p w:rsidR="005F3922" w:rsidRDefault="005F3922" w:rsidP="00337D51">
      <w:pPr>
        <w:pBdr>
          <w:top w:val="single" w:sz="4" w:space="1" w:color="auto"/>
          <w:left w:val="single" w:sz="4" w:space="4" w:color="auto"/>
          <w:bottom w:val="single" w:sz="4" w:space="1" w:color="auto"/>
          <w:right w:val="single" w:sz="4" w:space="4" w:color="auto"/>
        </w:pBdr>
      </w:pPr>
      <w:r w:rsidRPr="00337D51">
        <w:rPr>
          <w:rFonts w:ascii="Arial" w:hAnsi="Arial" w:cs="Arial"/>
          <w:color w:val="323232"/>
          <w:sz w:val="21"/>
          <w:szCs w:val="21"/>
        </w:rPr>
        <w:t>Il n'y a que quatre génocides reconnus officiellement par la communauté internationale: le génocide des Juifs commis par les nazis pendant la Seconde Guerre mondiale, reconnu en 1945 par le Tribunal de Nuremberg, le génocide des Arméniens commis par les Turcs en 1915, reconnu par la France et l'ONU, le génocide des Tutsis par les Hutus au Rwanda en 1994, reconnu par l'ONU, et le massacre de Srebrenica, qualifié de «génocide» par la Cour Internationale de Justice (CIJ) et le Tribunal pénal pour l'ex-Yougoslavie.</w:t>
      </w:r>
    </w:p>
    <w:p w:rsidR="00337D51" w:rsidRDefault="00337D51" w:rsidP="00337D51">
      <w:pPr>
        <w:jc w:val="center"/>
      </w:pPr>
      <w:r>
        <w:rPr>
          <w:noProof/>
          <w:lang w:eastAsia="fr-FR"/>
        </w:rPr>
        <w:drawing>
          <wp:inline distT="0" distB="0" distL="0" distR="0">
            <wp:extent cx="6400800" cy="3916636"/>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57.jpg"/>
                    <pic:cNvPicPr/>
                  </pic:nvPicPr>
                  <pic:blipFill rotWithShape="1">
                    <a:blip r:embed="rId15" cstate="print">
                      <a:extLst>
                        <a:ext uri="{28A0092B-C50C-407E-A947-70E740481C1C}">
                          <a14:useLocalDpi xmlns:a14="http://schemas.microsoft.com/office/drawing/2010/main" val="0"/>
                        </a:ext>
                      </a:extLst>
                    </a:blip>
                    <a:srcRect l="14570" t="54120" r="38675" b="5415"/>
                    <a:stretch/>
                  </pic:blipFill>
                  <pic:spPr bwMode="auto">
                    <a:xfrm>
                      <a:off x="0" y="0"/>
                      <a:ext cx="6415464" cy="3925609"/>
                    </a:xfrm>
                    <a:prstGeom prst="rect">
                      <a:avLst/>
                    </a:prstGeom>
                    <a:ln>
                      <a:noFill/>
                    </a:ln>
                    <a:extLst>
                      <a:ext uri="{53640926-AAD7-44D8-BBD7-CCE9431645EC}">
                        <a14:shadowObscured xmlns:a14="http://schemas.microsoft.com/office/drawing/2010/main"/>
                      </a:ext>
                    </a:extLst>
                  </pic:spPr>
                </pic:pic>
              </a:graphicData>
            </a:graphic>
          </wp:inline>
        </w:drawing>
      </w:r>
    </w:p>
    <w:p w:rsidR="00E369B7" w:rsidRDefault="00E369B7" w:rsidP="00E369B7">
      <w:pPr>
        <w:pStyle w:val="Paragraphedeliste"/>
      </w:pPr>
      <w:r>
        <w:t xml:space="preserve">Documents : Caricature de Sergueï. </w:t>
      </w:r>
    </w:p>
    <w:p w:rsidR="00E369B7" w:rsidRDefault="00E369B7" w:rsidP="00E369B7">
      <w:pPr>
        <w:pStyle w:val="Paragraphedeliste"/>
      </w:pPr>
    </w:p>
    <w:p w:rsidR="00E369B7" w:rsidRDefault="00E369B7" w:rsidP="005F3922">
      <w:pPr>
        <w:pStyle w:val="Paragraphedeliste"/>
        <w:numPr>
          <w:ilvl w:val="0"/>
          <w:numId w:val="4"/>
        </w:numPr>
      </w:pPr>
      <w:r>
        <w:t>Analysez la caricature.</w:t>
      </w:r>
    </w:p>
    <w:p w:rsidR="00F741C2" w:rsidRDefault="00F741C2" w:rsidP="005F3922">
      <w:pPr>
        <w:pStyle w:val="Paragraphedeliste"/>
        <w:numPr>
          <w:ilvl w:val="0"/>
          <w:numId w:val="4"/>
        </w:numPr>
      </w:pPr>
      <w:r>
        <w:t>Répondre à la problématique en vous aidant de l’étude de la caricature et du tableau :</w:t>
      </w:r>
    </w:p>
    <w:p w:rsidR="00596834" w:rsidRPr="00031556" w:rsidRDefault="00596834">
      <w:pPr>
        <w:rPr>
          <w:b/>
        </w:rPr>
      </w:pPr>
      <w:r w:rsidRPr="00031556">
        <w:rPr>
          <w:b/>
        </w:rPr>
        <w:t>En quoi les évènements des années 90 montrent-t-il l’échec d’un « nouvel ordre » pacifié par la superpuissance américaine et ses alliés ?</w:t>
      </w:r>
    </w:p>
    <w:p w:rsidR="008B1B6A" w:rsidRDefault="008B1B6A"/>
    <w:p w:rsidR="00E044D9" w:rsidRDefault="00E044D9"/>
    <w:sectPr w:rsidR="00E044D9" w:rsidSect="00260451">
      <w:pgSz w:w="11906" w:h="16838"/>
      <w:pgMar w:top="284" w:right="284" w:bottom="720"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5EA" w:rsidRDefault="002F65EA" w:rsidP="002F65EA">
      <w:pPr>
        <w:spacing w:after="0" w:line="240" w:lineRule="auto"/>
      </w:pPr>
      <w:r>
        <w:separator/>
      </w:r>
    </w:p>
  </w:endnote>
  <w:endnote w:type="continuationSeparator" w:id="0">
    <w:p w:rsidR="002F65EA" w:rsidRDefault="002F65EA" w:rsidP="002F6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AB6" w:rsidRDefault="00065AB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AB6" w:rsidRDefault="00065AB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AB6" w:rsidRDefault="00065AB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5EA" w:rsidRDefault="002F65EA" w:rsidP="002F65EA">
      <w:pPr>
        <w:spacing w:after="0" w:line="240" w:lineRule="auto"/>
      </w:pPr>
      <w:r>
        <w:separator/>
      </w:r>
    </w:p>
  </w:footnote>
  <w:footnote w:type="continuationSeparator" w:id="0">
    <w:p w:rsidR="002F65EA" w:rsidRDefault="002F65EA" w:rsidP="002F6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AB6" w:rsidRDefault="00065AB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4688"/>
      <w:gridCol w:w="10940"/>
    </w:tblGrid>
    <w:tr w:rsidR="00260451" w:rsidTr="00260451">
      <w:trPr>
        <w:trHeight w:val="65"/>
      </w:trPr>
      <w:tc>
        <w:tcPr>
          <w:tcW w:w="1500" w:type="pct"/>
          <w:tcBorders>
            <w:bottom w:val="single" w:sz="4" w:space="0" w:color="943634" w:themeColor="accent2" w:themeShade="BF"/>
          </w:tcBorders>
          <w:shd w:val="clear" w:color="auto" w:fill="943634" w:themeFill="accent2" w:themeFillShade="BF"/>
          <w:vAlign w:val="bottom"/>
        </w:tcPr>
        <w:p w:rsidR="00260451" w:rsidRDefault="00260451" w:rsidP="00260451">
          <w:pPr>
            <w:pStyle w:val="En-tte"/>
            <w:jc w:val="right"/>
            <w:rPr>
              <w:color w:val="FFFFFF" w:themeColor="background1"/>
            </w:rPr>
          </w:pPr>
          <w:r>
            <w:rPr>
              <w:color w:val="FFFFFF" w:themeColor="background1"/>
            </w:rPr>
            <w:t xml:space="preserve">Histoire- Terminale </w:t>
          </w:r>
          <w:proofErr w:type="spellStart"/>
          <w:r>
            <w:rPr>
              <w:color w:val="FFFFFF" w:themeColor="background1"/>
            </w:rPr>
            <w:t>Bacpro</w:t>
          </w:r>
          <w:proofErr w:type="spellEnd"/>
        </w:p>
      </w:tc>
      <w:tc>
        <w:tcPr>
          <w:tcW w:w="4000" w:type="pct"/>
          <w:tcBorders>
            <w:bottom w:val="single" w:sz="4" w:space="0" w:color="auto"/>
          </w:tcBorders>
          <w:vAlign w:val="bottom"/>
        </w:tcPr>
        <w:p w:rsidR="00260451" w:rsidRDefault="00260451" w:rsidP="00260451">
          <w:pPr>
            <w:pStyle w:val="En-tte"/>
            <w:rPr>
              <w:color w:val="76923C" w:themeColor="accent3" w:themeShade="BF"/>
              <w:sz w:val="24"/>
            </w:rPr>
          </w:pPr>
          <w:r>
            <w:rPr>
              <w:b/>
              <w:bCs/>
              <w:color w:val="76923C" w:themeColor="accent3" w:themeShade="BF"/>
              <w:sz w:val="24"/>
            </w:rPr>
            <w:t>[</w:t>
          </w:r>
          <w:sdt>
            <w:sdtPr>
              <w:rPr>
                <w:b/>
                <w:bCs/>
                <w:caps/>
                <w:sz w:val="24"/>
              </w:rPr>
              <w:alias w:val="Titre"/>
              <w:id w:val="-128701740"/>
              <w:placeholder>
                <w:docPart w:val="33D59C94B6A64C0FB3F97D3FBE1FEB4F"/>
              </w:placeholder>
              <w:dataBinding w:prefixMappings="xmlns:ns0='http://schemas.openxmlformats.org/package/2006/metadata/core-properties' xmlns:ns1='http://purl.org/dc/elements/1.1/'" w:xpath="/ns0:coreProperties[1]/ns1:title[1]" w:storeItemID="{6C3C8BC8-F283-45AE-878A-BAB7291924A1}"/>
              <w:text/>
            </w:sdtPr>
            <w:sdtEndPr/>
            <w:sdtContent>
              <w:r w:rsidR="007273F4">
                <w:rPr>
                  <w:b/>
                  <w:bCs/>
                  <w:caps/>
                  <w:sz w:val="24"/>
                </w:rPr>
                <w:t>Le Monde depuis le tournant des années 90 : Activités</w:t>
              </w:r>
            </w:sdtContent>
          </w:sdt>
          <w:r>
            <w:rPr>
              <w:b/>
              <w:bCs/>
              <w:color w:val="76923C" w:themeColor="accent3" w:themeShade="BF"/>
              <w:sz w:val="24"/>
            </w:rPr>
            <w:t>]</w:t>
          </w:r>
        </w:p>
      </w:tc>
    </w:tr>
  </w:tbl>
  <w:p w:rsidR="00260451" w:rsidRDefault="0026045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AB6" w:rsidRDefault="00065AB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3DD"/>
    <w:multiLevelType w:val="hybridMultilevel"/>
    <w:tmpl w:val="07C21344"/>
    <w:lvl w:ilvl="0" w:tplc="418AAE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C918D8"/>
    <w:multiLevelType w:val="multilevel"/>
    <w:tmpl w:val="80B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66049C"/>
    <w:multiLevelType w:val="hybridMultilevel"/>
    <w:tmpl w:val="07C21344"/>
    <w:lvl w:ilvl="0" w:tplc="418AAE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E2302D1"/>
    <w:multiLevelType w:val="hybridMultilevel"/>
    <w:tmpl w:val="07C21344"/>
    <w:lvl w:ilvl="0" w:tplc="418AAE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EA"/>
    <w:rsid w:val="00031556"/>
    <w:rsid w:val="00065AB6"/>
    <w:rsid w:val="000D3467"/>
    <w:rsid w:val="00157ADA"/>
    <w:rsid w:val="001A2AEE"/>
    <w:rsid w:val="001A5923"/>
    <w:rsid w:val="001D0AAA"/>
    <w:rsid w:val="00260451"/>
    <w:rsid w:val="002A5E82"/>
    <w:rsid w:val="002F65EA"/>
    <w:rsid w:val="00337D51"/>
    <w:rsid w:val="004B601D"/>
    <w:rsid w:val="004F299D"/>
    <w:rsid w:val="00596834"/>
    <w:rsid w:val="005F3922"/>
    <w:rsid w:val="00600C61"/>
    <w:rsid w:val="006107F6"/>
    <w:rsid w:val="006F7762"/>
    <w:rsid w:val="007273F4"/>
    <w:rsid w:val="007746DB"/>
    <w:rsid w:val="008B1B6A"/>
    <w:rsid w:val="00AC5BC0"/>
    <w:rsid w:val="00B42A7F"/>
    <w:rsid w:val="00BB6396"/>
    <w:rsid w:val="00CA7853"/>
    <w:rsid w:val="00D27045"/>
    <w:rsid w:val="00E044D9"/>
    <w:rsid w:val="00E369B7"/>
    <w:rsid w:val="00F20379"/>
    <w:rsid w:val="00F648D1"/>
    <w:rsid w:val="00F741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F6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F65EA"/>
    <w:pPr>
      <w:tabs>
        <w:tab w:val="center" w:pos="4536"/>
        <w:tab w:val="right" w:pos="9072"/>
      </w:tabs>
      <w:spacing w:after="0" w:line="240" w:lineRule="auto"/>
    </w:pPr>
  </w:style>
  <w:style w:type="character" w:customStyle="1" w:styleId="En-tteCar">
    <w:name w:val="En-tête Car"/>
    <w:basedOn w:val="Policepardfaut"/>
    <w:link w:val="En-tte"/>
    <w:uiPriority w:val="99"/>
    <w:rsid w:val="002F65EA"/>
  </w:style>
  <w:style w:type="paragraph" w:styleId="Pieddepage">
    <w:name w:val="footer"/>
    <w:basedOn w:val="Normal"/>
    <w:link w:val="PieddepageCar"/>
    <w:uiPriority w:val="99"/>
    <w:unhideWhenUsed/>
    <w:rsid w:val="002F65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65EA"/>
  </w:style>
  <w:style w:type="paragraph" w:styleId="Paragraphedeliste">
    <w:name w:val="List Paragraph"/>
    <w:basedOn w:val="Normal"/>
    <w:uiPriority w:val="34"/>
    <w:qFormat/>
    <w:rsid w:val="00D27045"/>
    <w:pPr>
      <w:ind w:left="720"/>
      <w:contextualSpacing/>
    </w:pPr>
  </w:style>
  <w:style w:type="paragraph" w:styleId="NormalWeb">
    <w:name w:val="Normal (Web)"/>
    <w:basedOn w:val="Normal"/>
    <w:uiPriority w:val="99"/>
    <w:unhideWhenUsed/>
    <w:rsid w:val="005F39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F3922"/>
  </w:style>
  <w:style w:type="paragraph" w:styleId="Textedebulles">
    <w:name w:val="Balloon Text"/>
    <w:basedOn w:val="Normal"/>
    <w:link w:val="TextedebullesCar"/>
    <w:uiPriority w:val="99"/>
    <w:semiHidden/>
    <w:unhideWhenUsed/>
    <w:rsid w:val="00337D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7D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F6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F65EA"/>
    <w:pPr>
      <w:tabs>
        <w:tab w:val="center" w:pos="4536"/>
        <w:tab w:val="right" w:pos="9072"/>
      </w:tabs>
      <w:spacing w:after="0" w:line="240" w:lineRule="auto"/>
    </w:pPr>
  </w:style>
  <w:style w:type="character" w:customStyle="1" w:styleId="En-tteCar">
    <w:name w:val="En-tête Car"/>
    <w:basedOn w:val="Policepardfaut"/>
    <w:link w:val="En-tte"/>
    <w:uiPriority w:val="99"/>
    <w:rsid w:val="002F65EA"/>
  </w:style>
  <w:style w:type="paragraph" w:styleId="Pieddepage">
    <w:name w:val="footer"/>
    <w:basedOn w:val="Normal"/>
    <w:link w:val="PieddepageCar"/>
    <w:uiPriority w:val="99"/>
    <w:unhideWhenUsed/>
    <w:rsid w:val="002F65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65EA"/>
  </w:style>
  <w:style w:type="paragraph" w:styleId="Paragraphedeliste">
    <w:name w:val="List Paragraph"/>
    <w:basedOn w:val="Normal"/>
    <w:uiPriority w:val="34"/>
    <w:qFormat/>
    <w:rsid w:val="00D27045"/>
    <w:pPr>
      <w:ind w:left="720"/>
      <w:contextualSpacing/>
    </w:pPr>
  </w:style>
  <w:style w:type="paragraph" w:styleId="NormalWeb">
    <w:name w:val="Normal (Web)"/>
    <w:basedOn w:val="Normal"/>
    <w:uiPriority w:val="99"/>
    <w:unhideWhenUsed/>
    <w:rsid w:val="005F39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F3922"/>
  </w:style>
  <w:style w:type="paragraph" w:styleId="Textedebulles">
    <w:name w:val="Balloon Text"/>
    <w:basedOn w:val="Normal"/>
    <w:link w:val="TextedebullesCar"/>
    <w:uiPriority w:val="99"/>
    <w:semiHidden/>
    <w:unhideWhenUsed/>
    <w:rsid w:val="00337D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7D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3D59C94B6A64C0FB3F97D3FBE1FEB4F"/>
        <w:category>
          <w:name w:val="Général"/>
          <w:gallery w:val="placeholder"/>
        </w:category>
        <w:types>
          <w:type w:val="bbPlcHdr"/>
        </w:types>
        <w:behaviors>
          <w:behavior w:val="content"/>
        </w:behaviors>
        <w:guid w:val="{302FB463-1DA3-493E-9519-00DFFD398FED}"/>
      </w:docPartPr>
      <w:docPartBody>
        <w:p w:rsidR="002F5595" w:rsidRDefault="001249C2" w:rsidP="001249C2">
          <w:pPr>
            <w:pStyle w:val="33D59C94B6A64C0FB3F97D3FBE1FEB4F"/>
          </w:pPr>
          <w:r>
            <w:rPr>
              <w:b/>
              <w:bCs/>
              <w:caps/>
              <w:sz w:val="24"/>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9C2"/>
    <w:rsid w:val="001249C2"/>
    <w:rsid w:val="002F55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B9BD7A9CDF4D5AA5E8B831C1D6A0E4">
    <w:name w:val="00B9BD7A9CDF4D5AA5E8B831C1D6A0E4"/>
    <w:rsid w:val="001249C2"/>
  </w:style>
  <w:style w:type="paragraph" w:customStyle="1" w:styleId="33D59C94B6A64C0FB3F97D3FBE1FEB4F">
    <w:name w:val="33D59C94B6A64C0FB3F97D3FBE1FEB4F"/>
    <w:rsid w:val="001249C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B9BD7A9CDF4D5AA5E8B831C1D6A0E4">
    <w:name w:val="00B9BD7A9CDF4D5AA5E8B831C1D6A0E4"/>
    <w:rsid w:val="001249C2"/>
  </w:style>
  <w:style w:type="paragraph" w:customStyle="1" w:styleId="33D59C94B6A64C0FB3F97D3FBE1FEB4F">
    <w:name w:val="33D59C94B6A64C0FB3F97D3FBE1FEB4F"/>
    <w:rsid w:val="001249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Histoire- Terminale Bacpro</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426</Words>
  <Characters>2348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Monde depuis le tournant des années 90 : Activités</dc:title>
  <dc:creator>Nobody</dc:creator>
  <cp:lastModifiedBy>Famille Mondié-Grit</cp:lastModifiedBy>
  <cp:revision>13</cp:revision>
  <dcterms:created xsi:type="dcterms:W3CDTF">2016-02-24T08:28:00Z</dcterms:created>
  <dcterms:modified xsi:type="dcterms:W3CDTF">2016-02-24T12:57:00Z</dcterms:modified>
</cp:coreProperties>
</file>